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407AA" w14:textId="79D46BA8" w:rsidR="007023D1" w:rsidRPr="002229B8" w:rsidRDefault="007023D1" w:rsidP="007023D1">
      <w:pPr>
        <w:pStyle w:val="Title"/>
        <w:rPr>
          <w:highlight w:val="yellow"/>
        </w:rPr>
      </w:pPr>
      <w:bookmarkStart w:id="0" w:name="_Ref528428197"/>
      <w:bookmarkStart w:id="1" w:name="_Toc32835062"/>
      <w:r w:rsidRPr="002229B8">
        <w:t>ANNEX 7</w:t>
      </w:r>
      <w:r w:rsidR="00BD171D" w:rsidRPr="002229B8">
        <w:t xml:space="preserve"> -</w:t>
      </w:r>
      <w:r w:rsidRPr="002229B8">
        <w:t xml:space="preserve"> TECHNICAL SPECIFICATIONS</w:t>
      </w:r>
    </w:p>
    <w:p w14:paraId="1A50CDF1" w14:textId="7B997F3A" w:rsidR="007023D1" w:rsidRPr="002229B8" w:rsidRDefault="00AE5274" w:rsidP="00742064">
      <w:pPr>
        <w:pStyle w:val="Title"/>
      </w:pPr>
      <w:r w:rsidRPr="002229B8">
        <w:t xml:space="preserve">Software </w:t>
      </w:r>
      <w:r w:rsidR="00AD44C8" w:rsidRPr="002229B8">
        <w:t xml:space="preserve">application </w:t>
      </w:r>
      <w:r w:rsidRPr="002229B8">
        <w:t>development services</w:t>
      </w:r>
    </w:p>
    <w:sdt>
      <w:sdtPr>
        <w:rPr>
          <w:rFonts w:ascii="Times New Roman" w:eastAsia="Times New Roman" w:hAnsi="Times New Roman" w:cs="Times New Roman"/>
          <w:color w:val="auto"/>
          <w:sz w:val="24"/>
          <w:szCs w:val="24"/>
          <w:lang w:val="en-GB" w:eastAsia="en-GB"/>
        </w:rPr>
        <w:id w:val="793410968"/>
        <w:docPartObj>
          <w:docPartGallery w:val="Table of Contents"/>
          <w:docPartUnique/>
        </w:docPartObj>
      </w:sdtPr>
      <w:sdtEndPr/>
      <w:sdtContent>
        <w:p w14:paraId="28F94C47" w14:textId="77777777" w:rsidR="007023D1" w:rsidRPr="002229B8" w:rsidRDefault="007023D1" w:rsidP="00157809">
          <w:pPr>
            <w:pStyle w:val="TOCHeading"/>
            <w:jc w:val="center"/>
            <w:rPr>
              <w:rFonts w:ascii="Times New Roman" w:hAnsi="Times New Roman" w:cs="Times New Roman"/>
              <w:b/>
              <w:bCs/>
              <w:color w:val="auto"/>
              <w:lang w:val="en-GB"/>
            </w:rPr>
          </w:pPr>
          <w:r w:rsidRPr="002229B8">
            <w:rPr>
              <w:rFonts w:ascii="Times New Roman" w:hAnsi="Times New Roman" w:cs="Times New Roman"/>
              <w:b/>
              <w:bCs/>
              <w:color w:val="auto"/>
              <w:lang w:val="en-GB"/>
            </w:rPr>
            <w:t>Table of Contents</w:t>
          </w:r>
        </w:p>
        <w:p w14:paraId="0842F072" w14:textId="60F14428" w:rsidR="00742064" w:rsidRDefault="007023D1">
          <w:pPr>
            <w:pStyle w:val="TOC1"/>
            <w:tabs>
              <w:tab w:val="left" w:pos="480"/>
              <w:tab w:val="right" w:leader="dot" w:pos="9350"/>
            </w:tabs>
            <w:rPr>
              <w:rFonts w:asciiTheme="minorHAnsi" w:eastAsiaTheme="minorEastAsia" w:hAnsiTheme="minorHAnsi" w:cstheme="minorBidi"/>
              <w:noProof/>
              <w:kern w:val="2"/>
              <w:lang w:val="it-IT" w:eastAsia="it-IT"/>
              <w14:ligatures w14:val="standardContextual"/>
            </w:rPr>
          </w:pPr>
          <w:r w:rsidRPr="002229B8">
            <w:fldChar w:fldCharType="begin"/>
          </w:r>
          <w:r w:rsidRPr="002229B8">
            <w:instrText>TOC \o "1-3" \h \z \u</w:instrText>
          </w:r>
          <w:r w:rsidRPr="002229B8">
            <w:fldChar w:fldCharType="separate"/>
          </w:r>
          <w:hyperlink w:anchor="_Toc191487069" w:history="1">
            <w:r w:rsidR="00742064" w:rsidRPr="00055B11">
              <w:rPr>
                <w:rStyle w:val="Hyperlink"/>
                <w:bCs/>
                <w:noProof/>
              </w:rPr>
              <w:t>1.</w:t>
            </w:r>
            <w:r w:rsidR="00742064">
              <w:rPr>
                <w:rFonts w:asciiTheme="minorHAnsi" w:eastAsiaTheme="minorEastAsia" w:hAnsiTheme="minorHAnsi" w:cstheme="minorBidi"/>
                <w:noProof/>
                <w:kern w:val="2"/>
                <w:lang w:val="it-IT" w:eastAsia="it-IT"/>
                <w14:ligatures w14:val="standardContextual"/>
              </w:rPr>
              <w:tab/>
            </w:r>
            <w:r w:rsidR="00742064" w:rsidRPr="00055B11">
              <w:rPr>
                <w:rStyle w:val="Hyperlink"/>
                <w:bCs/>
                <w:noProof/>
              </w:rPr>
              <w:t>General Background and Context</w:t>
            </w:r>
            <w:r w:rsidR="00742064">
              <w:rPr>
                <w:noProof/>
                <w:webHidden/>
              </w:rPr>
              <w:tab/>
            </w:r>
            <w:r w:rsidR="00742064">
              <w:rPr>
                <w:noProof/>
                <w:webHidden/>
              </w:rPr>
              <w:fldChar w:fldCharType="begin"/>
            </w:r>
            <w:r w:rsidR="00742064">
              <w:rPr>
                <w:noProof/>
                <w:webHidden/>
              </w:rPr>
              <w:instrText xml:space="preserve"> PAGEREF _Toc191487069 \h </w:instrText>
            </w:r>
            <w:r w:rsidR="00742064">
              <w:rPr>
                <w:noProof/>
                <w:webHidden/>
              </w:rPr>
            </w:r>
            <w:r w:rsidR="00742064">
              <w:rPr>
                <w:noProof/>
                <w:webHidden/>
              </w:rPr>
              <w:fldChar w:fldCharType="separate"/>
            </w:r>
            <w:r w:rsidR="00742064">
              <w:rPr>
                <w:noProof/>
                <w:webHidden/>
              </w:rPr>
              <w:t>6</w:t>
            </w:r>
            <w:r w:rsidR="00742064">
              <w:rPr>
                <w:noProof/>
                <w:webHidden/>
              </w:rPr>
              <w:fldChar w:fldCharType="end"/>
            </w:r>
          </w:hyperlink>
        </w:p>
        <w:p w14:paraId="0B0EF107" w14:textId="133F61C2" w:rsidR="00742064" w:rsidRDefault="00742064">
          <w:pPr>
            <w:pStyle w:val="TOC1"/>
            <w:tabs>
              <w:tab w:val="left" w:pos="480"/>
              <w:tab w:val="right" w:leader="dot" w:pos="9350"/>
            </w:tabs>
            <w:rPr>
              <w:rFonts w:asciiTheme="minorHAnsi" w:eastAsiaTheme="minorEastAsia" w:hAnsiTheme="minorHAnsi" w:cstheme="minorBidi"/>
              <w:noProof/>
              <w:kern w:val="2"/>
              <w:lang w:val="it-IT" w:eastAsia="it-IT"/>
              <w14:ligatures w14:val="standardContextual"/>
            </w:rPr>
          </w:pPr>
          <w:hyperlink w:anchor="_Toc191487070" w:history="1">
            <w:r w:rsidRPr="00055B11">
              <w:rPr>
                <w:rStyle w:val="Hyperlink"/>
                <w:bCs/>
                <w:noProof/>
              </w:rPr>
              <w:t>2.</w:t>
            </w:r>
            <w:r>
              <w:rPr>
                <w:rFonts w:asciiTheme="minorHAnsi" w:eastAsiaTheme="minorEastAsia" w:hAnsiTheme="minorHAnsi" w:cstheme="minorBidi"/>
                <w:noProof/>
                <w:kern w:val="2"/>
                <w:lang w:val="it-IT" w:eastAsia="it-IT"/>
                <w14:ligatures w14:val="standardContextual"/>
              </w:rPr>
              <w:tab/>
            </w:r>
            <w:r w:rsidRPr="00055B11">
              <w:rPr>
                <w:rStyle w:val="Hyperlink"/>
                <w:bCs/>
                <w:noProof/>
              </w:rPr>
              <w:t>Definitions</w:t>
            </w:r>
            <w:r>
              <w:rPr>
                <w:noProof/>
                <w:webHidden/>
              </w:rPr>
              <w:tab/>
            </w:r>
            <w:r>
              <w:rPr>
                <w:noProof/>
                <w:webHidden/>
              </w:rPr>
              <w:fldChar w:fldCharType="begin"/>
            </w:r>
            <w:r>
              <w:rPr>
                <w:noProof/>
                <w:webHidden/>
              </w:rPr>
              <w:instrText xml:space="preserve"> PAGEREF _Toc191487070 \h </w:instrText>
            </w:r>
            <w:r>
              <w:rPr>
                <w:noProof/>
                <w:webHidden/>
              </w:rPr>
            </w:r>
            <w:r>
              <w:rPr>
                <w:noProof/>
                <w:webHidden/>
              </w:rPr>
              <w:fldChar w:fldCharType="separate"/>
            </w:r>
            <w:r>
              <w:rPr>
                <w:noProof/>
                <w:webHidden/>
              </w:rPr>
              <w:t>7</w:t>
            </w:r>
            <w:r>
              <w:rPr>
                <w:noProof/>
                <w:webHidden/>
              </w:rPr>
              <w:fldChar w:fldCharType="end"/>
            </w:r>
          </w:hyperlink>
        </w:p>
        <w:p w14:paraId="57414214" w14:textId="315CBDD0" w:rsidR="00742064" w:rsidRDefault="00742064">
          <w:pPr>
            <w:pStyle w:val="TOC1"/>
            <w:tabs>
              <w:tab w:val="left" w:pos="480"/>
              <w:tab w:val="right" w:leader="dot" w:pos="9350"/>
            </w:tabs>
            <w:rPr>
              <w:rFonts w:asciiTheme="minorHAnsi" w:eastAsiaTheme="minorEastAsia" w:hAnsiTheme="minorHAnsi" w:cstheme="minorBidi"/>
              <w:noProof/>
              <w:kern w:val="2"/>
              <w:lang w:val="it-IT" w:eastAsia="it-IT"/>
              <w14:ligatures w14:val="standardContextual"/>
            </w:rPr>
          </w:pPr>
          <w:hyperlink w:anchor="_Toc191487071" w:history="1">
            <w:r w:rsidRPr="00055B11">
              <w:rPr>
                <w:rStyle w:val="Hyperlink"/>
                <w:bCs/>
                <w:noProof/>
              </w:rPr>
              <w:t>3.</w:t>
            </w:r>
            <w:r>
              <w:rPr>
                <w:rFonts w:asciiTheme="minorHAnsi" w:eastAsiaTheme="minorEastAsia" w:hAnsiTheme="minorHAnsi" w:cstheme="minorBidi"/>
                <w:noProof/>
                <w:kern w:val="2"/>
                <w:lang w:val="it-IT" w:eastAsia="it-IT"/>
                <w14:ligatures w14:val="standardContextual"/>
              </w:rPr>
              <w:tab/>
            </w:r>
            <w:r w:rsidRPr="00055B11">
              <w:rPr>
                <w:rStyle w:val="Hyperlink"/>
                <w:bCs/>
                <w:noProof/>
              </w:rPr>
              <w:t>Object of the Tender</w:t>
            </w:r>
            <w:r>
              <w:rPr>
                <w:noProof/>
                <w:webHidden/>
              </w:rPr>
              <w:tab/>
            </w:r>
            <w:r>
              <w:rPr>
                <w:noProof/>
                <w:webHidden/>
              </w:rPr>
              <w:fldChar w:fldCharType="begin"/>
            </w:r>
            <w:r>
              <w:rPr>
                <w:noProof/>
                <w:webHidden/>
              </w:rPr>
              <w:instrText xml:space="preserve"> PAGEREF _Toc191487071 \h </w:instrText>
            </w:r>
            <w:r>
              <w:rPr>
                <w:noProof/>
                <w:webHidden/>
              </w:rPr>
            </w:r>
            <w:r>
              <w:rPr>
                <w:noProof/>
                <w:webHidden/>
              </w:rPr>
              <w:fldChar w:fldCharType="separate"/>
            </w:r>
            <w:r>
              <w:rPr>
                <w:noProof/>
                <w:webHidden/>
              </w:rPr>
              <w:t>9</w:t>
            </w:r>
            <w:r>
              <w:rPr>
                <w:noProof/>
                <w:webHidden/>
              </w:rPr>
              <w:fldChar w:fldCharType="end"/>
            </w:r>
          </w:hyperlink>
        </w:p>
        <w:p w14:paraId="7D90DD5E" w14:textId="7008C5A4" w:rsidR="00742064" w:rsidRDefault="00742064">
          <w:pPr>
            <w:pStyle w:val="TOC1"/>
            <w:tabs>
              <w:tab w:val="left" w:pos="480"/>
              <w:tab w:val="right" w:leader="dot" w:pos="9350"/>
            </w:tabs>
            <w:rPr>
              <w:rFonts w:asciiTheme="minorHAnsi" w:eastAsiaTheme="minorEastAsia" w:hAnsiTheme="minorHAnsi" w:cstheme="minorBidi"/>
              <w:noProof/>
              <w:kern w:val="2"/>
              <w:lang w:val="it-IT" w:eastAsia="it-IT"/>
              <w14:ligatures w14:val="standardContextual"/>
            </w:rPr>
          </w:pPr>
          <w:hyperlink w:anchor="_Toc191487072" w:history="1">
            <w:r w:rsidRPr="00055B11">
              <w:rPr>
                <w:rStyle w:val="Hyperlink"/>
                <w:bCs/>
                <w:noProof/>
              </w:rPr>
              <w:t>4.</w:t>
            </w:r>
            <w:r>
              <w:rPr>
                <w:rFonts w:asciiTheme="minorHAnsi" w:eastAsiaTheme="minorEastAsia" w:hAnsiTheme="minorHAnsi" w:cstheme="minorBidi"/>
                <w:noProof/>
                <w:kern w:val="2"/>
                <w:lang w:val="it-IT" w:eastAsia="it-IT"/>
                <w14:ligatures w14:val="standardContextual"/>
              </w:rPr>
              <w:tab/>
            </w:r>
            <w:r w:rsidRPr="00055B11">
              <w:rPr>
                <w:rStyle w:val="Hyperlink"/>
                <w:bCs/>
                <w:noProof/>
              </w:rPr>
              <w:t>Deliverables</w:t>
            </w:r>
            <w:r>
              <w:rPr>
                <w:noProof/>
                <w:webHidden/>
              </w:rPr>
              <w:tab/>
            </w:r>
            <w:r>
              <w:rPr>
                <w:noProof/>
                <w:webHidden/>
              </w:rPr>
              <w:fldChar w:fldCharType="begin"/>
            </w:r>
            <w:r>
              <w:rPr>
                <w:noProof/>
                <w:webHidden/>
              </w:rPr>
              <w:instrText xml:space="preserve"> PAGEREF _Toc191487072 \h </w:instrText>
            </w:r>
            <w:r>
              <w:rPr>
                <w:noProof/>
                <w:webHidden/>
              </w:rPr>
            </w:r>
            <w:r>
              <w:rPr>
                <w:noProof/>
                <w:webHidden/>
              </w:rPr>
              <w:fldChar w:fldCharType="separate"/>
            </w:r>
            <w:r>
              <w:rPr>
                <w:noProof/>
                <w:webHidden/>
              </w:rPr>
              <w:t>10</w:t>
            </w:r>
            <w:r>
              <w:rPr>
                <w:noProof/>
                <w:webHidden/>
              </w:rPr>
              <w:fldChar w:fldCharType="end"/>
            </w:r>
          </w:hyperlink>
        </w:p>
        <w:p w14:paraId="398952C3" w14:textId="7676831D" w:rsidR="00742064" w:rsidRDefault="00742064">
          <w:pPr>
            <w:pStyle w:val="TOC1"/>
            <w:tabs>
              <w:tab w:val="left" w:pos="480"/>
              <w:tab w:val="right" w:leader="dot" w:pos="9350"/>
            </w:tabs>
            <w:rPr>
              <w:rFonts w:asciiTheme="minorHAnsi" w:eastAsiaTheme="minorEastAsia" w:hAnsiTheme="minorHAnsi" w:cstheme="minorBidi"/>
              <w:noProof/>
              <w:kern w:val="2"/>
              <w:lang w:val="it-IT" w:eastAsia="it-IT"/>
              <w14:ligatures w14:val="standardContextual"/>
            </w:rPr>
          </w:pPr>
          <w:hyperlink w:anchor="_Toc191487073" w:history="1">
            <w:r w:rsidRPr="00055B11">
              <w:rPr>
                <w:rStyle w:val="Hyperlink"/>
                <w:noProof/>
              </w:rPr>
              <w:t>5.</w:t>
            </w:r>
            <w:r>
              <w:rPr>
                <w:rFonts w:asciiTheme="minorHAnsi" w:eastAsiaTheme="minorEastAsia" w:hAnsiTheme="minorHAnsi" w:cstheme="minorBidi"/>
                <w:noProof/>
                <w:kern w:val="2"/>
                <w:lang w:val="it-IT" w:eastAsia="it-IT"/>
                <w14:ligatures w14:val="standardContextual"/>
              </w:rPr>
              <w:tab/>
            </w:r>
            <w:r w:rsidRPr="00055B11">
              <w:rPr>
                <w:rStyle w:val="Hyperlink"/>
                <w:noProof/>
              </w:rPr>
              <w:t>Timetable</w:t>
            </w:r>
            <w:r>
              <w:rPr>
                <w:noProof/>
                <w:webHidden/>
              </w:rPr>
              <w:tab/>
            </w:r>
            <w:r>
              <w:rPr>
                <w:noProof/>
                <w:webHidden/>
              </w:rPr>
              <w:fldChar w:fldCharType="begin"/>
            </w:r>
            <w:r>
              <w:rPr>
                <w:noProof/>
                <w:webHidden/>
              </w:rPr>
              <w:instrText xml:space="preserve"> PAGEREF _Toc191487073 \h </w:instrText>
            </w:r>
            <w:r>
              <w:rPr>
                <w:noProof/>
                <w:webHidden/>
              </w:rPr>
            </w:r>
            <w:r>
              <w:rPr>
                <w:noProof/>
                <w:webHidden/>
              </w:rPr>
              <w:fldChar w:fldCharType="separate"/>
            </w:r>
            <w:r>
              <w:rPr>
                <w:noProof/>
                <w:webHidden/>
              </w:rPr>
              <w:t>10</w:t>
            </w:r>
            <w:r>
              <w:rPr>
                <w:noProof/>
                <w:webHidden/>
              </w:rPr>
              <w:fldChar w:fldCharType="end"/>
            </w:r>
          </w:hyperlink>
        </w:p>
        <w:p w14:paraId="6438E72B" w14:textId="0D24EB54" w:rsidR="00742064" w:rsidRDefault="00742064">
          <w:pPr>
            <w:pStyle w:val="TOC1"/>
            <w:tabs>
              <w:tab w:val="left" w:pos="480"/>
              <w:tab w:val="right" w:leader="dot" w:pos="9350"/>
            </w:tabs>
            <w:rPr>
              <w:rFonts w:asciiTheme="minorHAnsi" w:eastAsiaTheme="minorEastAsia" w:hAnsiTheme="minorHAnsi" w:cstheme="minorBidi"/>
              <w:noProof/>
              <w:kern w:val="2"/>
              <w:lang w:val="it-IT" w:eastAsia="it-IT"/>
              <w14:ligatures w14:val="standardContextual"/>
            </w:rPr>
          </w:pPr>
          <w:hyperlink w:anchor="_Toc191487074" w:history="1">
            <w:r w:rsidRPr="00055B11">
              <w:rPr>
                <w:rStyle w:val="Hyperlink"/>
                <w:bCs/>
                <w:noProof/>
              </w:rPr>
              <w:t>6.</w:t>
            </w:r>
            <w:r>
              <w:rPr>
                <w:rFonts w:asciiTheme="minorHAnsi" w:eastAsiaTheme="minorEastAsia" w:hAnsiTheme="minorHAnsi" w:cstheme="minorBidi"/>
                <w:noProof/>
                <w:kern w:val="2"/>
                <w:lang w:val="it-IT" w:eastAsia="it-IT"/>
                <w14:ligatures w14:val="standardContextual"/>
              </w:rPr>
              <w:tab/>
            </w:r>
            <w:r w:rsidRPr="00055B11">
              <w:rPr>
                <w:rStyle w:val="Hyperlink"/>
                <w:bCs/>
                <w:noProof/>
              </w:rPr>
              <w:t>Contract amount, duration, accounting and invoicing</w:t>
            </w:r>
            <w:r>
              <w:rPr>
                <w:noProof/>
                <w:webHidden/>
              </w:rPr>
              <w:tab/>
            </w:r>
            <w:r>
              <w:rPr>
                <w:noProof/>
                <w:webHidden/>
              </w:rPr>
              <w:fldChar w:fldCharType="begin"/>
            </w:r>
            <w:r>
              <w:rPr>
                <w:noProof/>
                <w:webHidden/>
              </w:rPr>
              <w:instrText xml:space="preserve"> PAGEREF _Toc191487074 \h </w:instrText>
            </w:r>
            <w:r>
              <w:rPr>
                <w:noProof/>
                <w:webHidden/>
              </w:rPr>
            </w:r>
            <w:r>
              <w:rPr>
                <w:noProof/>
                <w:webHidden/>
              </w:rPr>
              <w:fldChar w:fldCharType="separate"/>
            </w:r>
            <w:r>
              <w:rPr>
                <w:noProof/>
                <w:webHidden/>
              </w:rPr>
              <w:t>11</w:t>
            </w:r>
            <w:r>
              <w:rPr>
                <w:noProof/>
                <w:webHidden/>
              </w:rPr>
              <w:fldChar w:fldCharType="end"/>
            </w:r>
          </w:hyperlink>
        </w:p>
        <w:p w14:paraId="76093EC6" w14:textId="40B25038" w:rsidR="00742064" w:rsidRDefault="00742064">
          <w:pPr>
            <w:pStyle w:val="TOC2"/>
            <w:tabs>
              <w:tab w:val="right" w:leader="dot" w:pos="9350"/>
            </w:tabs>
            <w:rPr>
              <w:rFonts w:asciiTheme="minorHAnsi" w:eastAsiaTheme="minorEastAsia" w:hAnsiTheme="minorHAnsi" w:cstheme="minorBidi"/>
              <w:noProof/>
              <w:kern w:val="2"/>
              <w:lang w:val="it-IT" w:eastAsia="it-IT"/>
              <w14:ligatures w14:val="standardContextual"/>
            </w:rPr>
          </w:pPr>
          <w:hyperlink w:anchor="_Toc191487075" w:history="1">
            <w:r w:rsidRPr="00055B11">
              <w:rPr>
                <w:rStyle w:val="Hyperlink"/>
                <w:rFonts w:eastAsiaTheme="majorEastAsia" w:cstheme="majorBidi"/>
                <w:noProof/>
              </w:rPr>
              <w:t>6.1. Contract amount</w:t>
            </w:r>
            <w:r>
              <w:rPr>
                <w:noProof/>
                <w:webHidden/>
              </w:rPr>
              <w:tab/>
            </w:r>
            <w:r>
              <w:rPr>
                <w:noProof/>
                <w:webHidden/>
              </w:rPr>
              <w:fldChar w:fldCharType="begin"/>
            </w:r>
            <w:r>
              <w:rPr>
                <w:noProof/>
                <w:webHidden/>
              </w:rPr>
              <w:instrText xml:space="preserve"> PAGEREF _Toc191487075 \h </w:instrText>
            </w:r>
            <w:r>
              <w:rPr>
                <w:noProof/>
                <w:webHidden/>
              </w:rPr>
            </w:r>
            <w:r>
              <w:rPr>
                <w:noProof/>
                <w:webHidden/>
              </w:rPr>
              <w:fldChar w:fldCharType="separate"/>
            </w:r>
            <w:r>
              <w:rPr>
                <w:noProof/>
                <w:webHidden/>
              </w:rPr>
              <w:t>11</w:t>
            </w:r>
            <w:r>
              <w:rPr>
                <w:noProof/>
                <w:webHidden/>
              </w:rPr>
              <w:fldChar w:fldCharType="end"/>
            </w:r>
          </w:hyperlink>
        </w:p>
        <w:p w14:paraId="5BBA302F" w14:textId="4DFBBB41" w:rsidR="00742064" w:rsidRDefault="00742064">
          <w:pPr>
            <w:pStyle w:val="TOC2"/>
            <w:tabs>
              <w:tab w:val="right" w:leader="dot" w:pos="9350"/>
            </w:tabs>
            <w:rPr>
              <w:rFonts w:asciiTheme="minorHAnsi" w:eastAsiaTheme="minorEastAsia" w:hAnsiTheme="minorHAnsi" w:cstheme="minorBidi"/>
              <w:noProof/>
              <w:kern w:val="2"/>
              <w:lang w:val="it-IT" w:eastAsia="it-IT"/>
              <w14:ligatures w14:val="standardContextual"/>
            </w:rPr>
          </w:pPr>
          <w:hyperlink w:anchor="_Toc191487076" w:history="1">
            <w:r w:rsidRPr="00055B11">
              <w:rPr>
                <w:rStyle w:val="Hyperlink"/>
                <w:rFonts w:eastAsiaTheme="majorEastAsia" w:cstheme="majorBidi"/>
                <w:noProof/>
              </w:rPr>
              <w:t>6.2. Duration</w:t>
            </w:r>
            <w:r>
              <w:rPr>
                <w:noProof/>
                <w:webHidden/>
              </w:rPr>
              <w:tab/>
            </w:r>
            <w:r>
              <w:rPr>
                <w:noProof/>
                <w:webHidden/>
              </w:rPr>
              <w:fldChar w:fldCharType="begin"/>
            </w:r>
            <w:r>
              <w:rPr>
                <w:noProof/>
                <w:webHidden/>
              </w:rPr>
              <w:instrText xml:space="preserve"> PAGEREF _Toc191487076 \h </w:instrText>
            </w:r>
            <w:r>
              <w:rPr>
                <w:noProof/>
                <w:webHidden/>
              </w:rPr>
            </w:r>
            <w:r>
              <w:rPr>
                <w:noProof/>
                <w:webHidden/>
              </w:rPr>
              <w:fldChar w:fldCharType="separate"/>
            </w:r>
            <w:r>
              <w:rPr>
                <w:noProof/>
                <w:webHidden/>
              </w:rPr>
              <w:t>11</w:t>
            </w:r>
            <w:r>
              <w:rPr>
                <w:noProof/>
                <w:webHidden/>
              </w:rPr>
              <w:fldChar w:fldCharType="end"/>
            </w:r>
          </w:hyperlink>
        </w:p>
        <w:p w14:paraId="10D75777" w14:textId="338AAF54" w:rsidR="00742064" w:rsidRDefault="00742064">
          <w:pPr>
            <w:pStyle w:val="TOC2"/>
            <w:tabs>
              <w:tab w:val="right" w:leader="dot" w:pos="9350"/>
            </w:tabs>
            <w:rPr>
              <w:rFonts w:asciiTheme="minorHAnsi" w:eastAsiaTheme="minorEastAsia" w:hAnsiTheme="minorHAnsi" w:cstheme="minorBidi"/>
              <w:noProof/>
              <w:kern w:val="2"/>
              <w:lang w:val="it-IT" w:eastAsia="it-IT"/>
              <w14:ligatures w14:val="standardContextual"/>
            </w:rPr>
          </w:pPr>
          <w:hyperlink w:anchor="_Toc191487077" w:history="1">
            <w:r w:rsidRPr="00055B11">
              <w:rPr>
                <w:rStyle w:val="Hyperlink"/>
                <w:rFonts w:eastAsiaTheme="majorEastAsia" w:cstheme="majorBidi"/>
                <w:noProof/>
              </w:rPr>
              <w:t>6.3. Accounting and invoicing</w:t>
            </w:r>
            <w:r>
              <w:rPr>
                <w:noProof/>
                <w:webHidden/>
              </w:rPr>
              <w:tab/>
            </w:r>
            <w:r>
              <w:rPr>
                <w:noProof/>
                <w:webHidden/>
              </w:rPr>
              <w:fldChar w:fldCharType="begin"/>
            </w:r>
            <w:r>
              <w:rPr>
                <w:noProof/>
                <w:webHidden/>
              </w:rPr>
              <w:instrText xml:space="preserve"> PAGEREF _Toc191487077 \h </w:instrText>
            </w:r>
            <w:r>
              <w:rPr>
                <w:noProof/>
                <w:webHidden/>
              </w:rPr>
            </w:r>
            <w:r>
              <w:rPr>
                <w:noProof/>
                <w:webHidden/>
              </w:rPr>
              <w:fldChar w:fldCharType="separate"/>
            </w:r>
            <w:r>
              <w:rPr>
                <w:noProof/>
                <w:webHidden/>
              </w:rPr>
              <w:t>12</w:t>
            </w:r>
            <w:r>
              <w:rPr>
                <w:noProof/>
                <w:webHidden/>
              </w:rPr>
              <w:fldChar w:fldCharType="end"/>
            </w:r>
          </w:hyperlink>
        </w:p>
        <w:p w14:paraId="30432249" w14:textId="0372E427" w:rsidR="00742064" w:rsidRDefault="00742064">
          <w:pPr>
            <w:pStyle w:val="TOC1"/>
            <w:tabs>
              <w:tab w:val="left" w:pos="480"/>
              <w:tab w:val="right" w:leader="dot" w:pos="9350"/>
            </w:tabs>
            <w:rPr>
              <w:rFonts w:asciiTheme="minorHAnsi" w:eastAsiaTheme="minorEastAsia" w:hAnsiTheme="minorHAnsi" w:cstheme="minorBidi"/>
              <w:noProof/>
              <w:kern w:val="2"/>
              <w:lang w:val="it-IT" w:eastAsia="it-IT"/>
              <w14:ligatures w14:val="standardContextual"/>
            </w:rPr>
          </w:pPr>
          <w:hyperlink w:anchor="_Toc191487078" w:history="1">
            <w:r w:rsidRPr="00055B11">
              <w:rPr>
                <w:rStyle w:val="Hyperlink"/>
                <w:bCs/>
                <w:noProof/>
              </w:rPr>
              <w:t>7.</w:t>
            </w:r>
            <w:r>
              <w:rPr>
                <w:rFonts w:asciiTheme="minorHAnsi" w:eastAsiaTheme="minorEastAsia" w:hAnsiTheme="minorHAnsi" w:cstheme="minorBidi"/>
                <w:noProof/>
                <w:kern w:val="2"/>
                <w:lang w:val="it-IT" w:eastAsia="it-IT"/>
                <w14:ligatures w14:val="standardContextual"/>
              </w:rPr>
              <w:tab/>
            </w:r>
            <w:r w:rsidRPr="00055B11">
              <w:rPr>
                <w:rStyle w:val="Hyperlink"/>
                <w:bCs/>
                <w:noProof/>
              </w:rPr>
              <w:t>Compliance checks and warranty</w:t>
            </w:r>
            <w:r>
              <w:rPr>
                <w:noProof/>
                <w:webHidden/>
              </w:rPr>
              <w:tab/>
            </w:r>
            <w:r>
              <w:rPr>
                <w:noProof/>
                <w:webHidden/>
              </w:rPr>
              <w:fldChar w:fldCharType="begin"/>
            </w:r>
            <w:r>
              <w:rPr>
                <w:noProof/>
                <w:webHidden/>
              </w:rPr>
              <w:instrText xml:space="preserve"> PAGEREF _Toc191487078 \h </w:instrText>
            </w:r>
            <w:r>
              <w:rPr>
                <w:noProof/>
                <w:webHidden/>
              </w:rPr>
            </w:r>
            <w:r>
              <w:rPr>
                <w:noProof/>
                <w:webHidden/>
              </w:rPr>
              <w:fldChar w:fldCharType="separate"/>
            </w:r>
            <w:r>
              <w:rPr>
                <w:noProof/>
                <w:webHidden/>
              </w:rPr>
              <w:t>13</w:t>
            </w:r>
            <w:r>
              <w:rPr>
                <w:noProof/>
                <w:webHidden/>
              </w:rPr>
              <w:fldChar w:fldCharType="end"/>
            </w:r>
          </w:hyperlink>
        </w:p>
        <w:p w14:paraId="1A870AE3" w14:textId="5705BE86" w:rsidR="00742064" w:rsidRDefault="00742064">
          <w:pPr>
            <w:pStyle w:val="TOC1"/>
            <w:tabs>
              <w:tab w:val="left" w:pos="480"/>
              <w:tab w:val="right" w:leader="dot" w:pos="9350"/>
            </w:tabs>
            <w:rPr>
              <w:rFonts w:asciiTheme="minorHAnsi" w:eastAsiaTheme="minorEastAsia" w:hAnsiTheme="minorHAnsi" w:cstheme="minorBidi"/>
              <w:noProof/>
              <w:kern w:val="2"/>
              <w:lang w:val="it-IT" w:eastAsia="it-IT"/>
              <w14:ligatures w14:val="standardContextual"/>
            </w:rPr>
          </w:pPr>
          <w:hyperlink w:anchor="_Toc191487079" w:history="1">
            <w:r w:rsidRPr="00055B11">
              <w:rPr>
                <w:rStyle w:val="Hyperlink"/>
                <w:bCs/>
                <w:noProof/>
              </w:rPr>
              <w:t>8.</w:t>
            </w:r>
            <w:r>
              <w:rPr>
                <w:rFonts w:asciiTheme="minorHAnsi" w:eastAsiaTheme="minorEastAsia" w:hAnsiTheme="minorHAnsi" w:cstheme="minorBidi"/>
                <w:noProof/>
                <w:kern w:val="2"/>
                <w:lang w:val="it-IT" w:eastAsia="it-IT"/>
                <w14:ligatures w14:val="standardContextual"/>
              </w:rPr>
              <w:tab/>
            </w:r>
            <w:r w:rsidRPr="00055B11">
              <w:rPr>
                <w:rStyle w:val="Hyperlink"/>
                <w:bCs/>
                <w:noProof/>
              </w:rPr>
              <w:t>Technical support and maintenance services</w:t>
            </w:r>
            <w:r>
              <w:rPr>
                <w:noProof/>
                <w:webHidden/>
              </w:rPr>
              <w:tab/>
            </w:r>
            <w:r>
              <w:rPr>
                <w:noProof/>
                <w:webHidden/>
              </w:rPr>
              <w:fldChar w:fldCharType="begin"/>
            </w:r>
            <w:r>
              <w:rPr>
                <w:noProof/>
                <w:webHidden/>
              </w:rPr>
              <w:instrText xml:space="preserve"> PAGEREF _Toc191487079 \h </w:instrText>
            </w:r>
            <w:r>
              <w:rPr>
                <w:noProof/>
                <w:webHidden/>
              </w:rPr>
            </w:r>
            <w:r>
              <w:rPr>
                <w:noProof/>
                <w:webHidden/>
              </w:rPr>
              <w:fldChar w:fldCharType="separate"/>
            </w:r>
            <w:r>
              <w:rPr>
                <w:noProof/>
                <w:webHidden/>
              </w:rPr>
              <w:t>15</w:t>
            </w:r>
            <w:r>
              <w:rPr>
                <w:noProof/>
                <w:webHidden/>
              </w:rPr>
              <w:fldChar w:fldCharType="end"/>
            </w:r>
          </w:hyperlink>
        </w:p>
        <w:p w14:paraId="49B95B10" w14:textId="77663DBA" w:rsidR="00742064" w:rsidRDefault="00742064">
          <w:pPr>
            <w:pStyle w:val="TOC2"/>
            <w:tabs>
              <w:tab w:val="right" w:leader="dot" w:pos="9350"/>
            </w:tabs>
            <w:rPr>
              <w:rFonts w:asciiTheme="minorHAnsi" w:eastAsiaTheme="minorEastAsia" w:hAnsiTheme="minorHAnsi" w:cstheme="minorBidi"/>
              <w:noProof/>
              <w:kern w:val="2"/>
              <w:lang w:val="it-IT" w:eastAsia="it-IT"/>
              <w14:ligatures w14:val="standardContextual"/>
            </w:rPr>
          </w:pPr>
          <w:hyperlink w:anchor="_Toc191487080" w:history="1">
            <w:r w:rsidRPr="00055B11">
              <w:rPr>
                <w:rStyle w:val="Hyperlink"/>
                <w:rFonts w:eastAsiaTheme="majorEastAsia" w:cstheme="majorBidi"/>
                <w:noProof/>
              </w:rPr>
              <w:t>8.1. Corrective maintenance and technical support services</w:t>
            </w:r>
            <w:r>
              <w:rPr>
                <w:noProof/>
                <w:webHidden/>
              </w:rPr>
              <w:tab/>
            </w:r>
            <w:r>
              <w:rPr>
                <w:noProof/>
                <w:webHidden/>
              </w:rPr>
              <w:fldChar w:fldCharType="begin"/>
            </w:r>
            <w:r>
              <w:rPr>
                <w:noProof/>
                <w:webHidden/>
              </w:rPr>
              <w:instrText xml:space="preserve"> PAGEREF _Toc191487080 \h </w:instrText>
            </w:r>
            <w:r>
              <w:rPr>
                <w:noProof/>
                <w:webHidden/>
              </w:rPr>
            </w:r>
            <w:r>
              <w:rPr>
                <w:noProof/>
                <w:webHidden/>
              </w:rPr>
              <w:fldChar w:fldCharType="separate"/>
            </w:r>
            <w:r>
              <w:rPr>
                <w:noProof/>
                <w:webHidden/>
              </w:rPr>
              <w:t>15</w:t>
            </w:r>
            <w:r>
              <w:rPr>
                <w:noProof/>
                <w:webHidden/>
              </w:rPr>
              <w:fldChar w:fldCharType="end"/>
            </w:r>
          </w:hyperlink>
        </w:p>
        <w:p w14:paraId="66E76248" w14:textId="266C6245" w:rsidR="00742064" w:rsidRDefault="00742064">
          <w:pPr>
            <w:pStyle w:val="TOC2"/>
            <w:tabs>
              <w:tab w:val="right" w:leader="dot" w:pos="9350"/>
            </w:tabs>
            <w:rPr>
              <w:rFonts w:asciiTheme="minorHAnsi" w:eastAsiaTheme="minorEastAsia" w:hAnsiTheme="minorHAnsi" w:cstheme="minorBidi"/>
              <w:noProof/>
              <w:kern w:val="2"/>
              <w:lang w:val="it-IT" w:eastAsia="it-IT"/>
              <w14:ligatures w14:val="standardContextual"/>
            </w:rPr>
          </w:pPr>
          <w:hyperlink w:anchor="_Toc191487081" w:history="1">
            <w:r w:rsidRPr="00055B11">
              <w:rPr>
                <w:rStyle w:val="Hyperlink"/>
                <w:rFonts w:eastAsiaTheme="majorEastAsia" w:cstheme="majorBidi"/>
                <w:noProof/>
              </w:rPr>
              <w:t>8.2. Regulatory compliance maintenance services</w:t>
            </w:r>
            <w:r>
              <w:rPr>
                <w:noProof/>
                <w:webHidden/>
              </w:rPr>
              <w:tab/>
            </w:r>
            <w:r>
              <w:rPr>
                <w:noProof/>
                <w:webHidden/>
              </w:rPr>
              <w:fldChar w:fldCharType="begin"/>
            </w:r>
            <w:r>
              <w:rPr>
                <w:noProof/>
                <w:webHidden/>
              </w:rPr>
              <w:instrText xml:space="preserve"> PAGEREF _Toc191487081 \h </w:instrText>
            </w:r>
            <w:r>
              <w:rPr>
                <w:noProof/>
                <w:webHidden/>
              </w:rPr>
            </w:r>
            <w:r>
              <w:rPr>
                <w:noProof/>
                <w:webHidden/>
              </w:rPr>
              <w:fldChar w:fldCharType="separate"/>
            </w:r>
            <w:r>
              <w:rPr>
                <w:noProof/>
                <w:webHidden/>
              </w:rPr>
              <w:t>16</w:t>
            </w:r>
            <w:r>
              <w:rPr>
                <w:noProof/>
                <w:webHidden/>
              </w:rPr>
              <w:fldChar w:fldCharType="end"/>
            </w:r>
          </w:hyperlink>
        </w:p>
        <w:p w14:paraId="55B24C75" w14:textId="05AABC50" w:rsidR="00742064" w:rsidRDefault="00742064">
          <w:pPr>
            <w:pStyle w:val="TOC2"/>
            <w:tabs>
              <w:tab w:val="right" w:leader="dot" w:pos="9350"/>
            </w:tabs>
            <w:rPr>
              <w:rFonts w:asciiTheme="minorHAnsi" w:eastAsiaTheme="minorEastAsia" w:hAnsiTheme="minorHAnsi" w:cstheme="minorBidi"/>
              <w:noProof/>
              <w:kern w:val="2"/>
              <w:lang w:val="it-IT" w:eastAsia="it-IT"/>
              <w14:ligatures w14:val="standardContextual"/>
            </w:rPr>
          </w:pPr>
          <w:hyperlink w:anchor="_Toc191487082" w:history="1">
            <w:r w:rsidRPr="00055B11">
              <w:rPr>
                <w:rStyle w:val="Hyperlink"/>
                <w:rFonts w:eastAsiaTheme="majorEastAsia" w:cstheme="majorBidi"/>
                <w:noProof/>
              </w:rPr>
              <w:t>8.3. Enhancement maintenance services</w:t>
            </w:r>
            <w:r>
              <w:rPr>
                <w:noProof/>
                <w:webHidden/>
              </w:rPr>
              <w:tab/>
            </w:r>
            <w:r>
              <w:rPr>
                <w:noProof/>
                <w:webHidden/>
              </w:rPr>
              <w:fldChar w:fldCharType="begin"/>
            </w:r>
            <w:r>
              <w:rPr>
                <w:noProof/>
                <w:webHidden/>
              </w:rPr>
              <w:instrText xml:space="preserve"> PAGEREF _Toc191487082 \h </w:instrText>
            </w:r>
            <w:r>
              <w:rPr>
                <w:noProof/>
                <w:webHidden/>
              </w:rPr>
            </w:r>
            <w:r>
              <w:rPr>
                <w:noProof/>
                <w:webHidden/>
              </w:rPr>
              <w:fldChar w:fldCharType="separate"/>
            </w:r>
            <w:r>
              <w:rPr>
                <w:noProof/>
                <w:webHidden/>
              </w:rPr>
              <w:t>17</w:t>
            </w:r>
            <w:r>
              <w:rPr>
                <w:noProof/>
                <w:webHidden/>
              </w:rPr>
              <w:fldChar w:fldCharType="end"/>
            </w:r>
          </w:hyperlink>
        </w:p>
        <w:p w14:paraId="342BF85A" w14:textId="5DA85698" w:rsidR="00742064" w:rsidRDefault="00742064">
          <w:pPr>
            <w:pStyle w:val="TOC1"/>
            <w:tabs>
              <w:tab w:val="left" w:pos="480"/>
              <w:tab w:val="right" w:leader="dot" w:pos="9350"/>
            </w:tabs>
            <w:rPr>
              <w:rFonts w:asciiTheme="minorHAnsi" w:eastAsiaTheme="minorEastAsia" w:hAnsiTheme="minorHAnsi" w:cstheme="minorBidi"/>
              <w:noProof/>
              <w:kern w:val="2"/>
              <w:lang w:val="it-IT" w:eastAsia="it-IT"/>
              <w14:ligatures w14:val="standardContextual"/>
            </w:rPr>
          </w:pPr>
          <w:hyperlink w:anchor="_Toc191487083" w:history="1">
            <w:r w:rsidRPr="00055B11">
              <w:rPr>
                <w:rStyle w:val="Hyperlink"/>
                <w:bCs/>
                <w:noProof/>
              </w:rPr>
              <w:t>9.</w:t>
            </w:r>
            <w:r>
              <w:rPr>
                <w:rFonts w:asciiTheme="minorHAnsi" w:eastAsiaTheme="minorEastAsia" w:hAnsiTheme="minorHAnsi" w:cstheme="minorBidi"/>
                <w:noProof/>
                <w:kern w:val="2"/>
                <w:lang w:val="it-IT" w:eastAsia="it-IT"/>
                <w14:ligatures w14:val="standardContextual"/>
              </w:rPr>
              <w:tab/>
            </w:r>
            <w:r w:rsidRPr="00055B11">
              <w:rPr>
                <w:rStyle w:val="Hyperlink"/>
                <w:bCs/>
                <w:noProof/>
              </w:rPr>
              <w:t>Required SLAs and metrics criteria</w:t>
            </w:r>
            <w:r>
              <w:rPr>
                <w:noProof/>
                <w:webHidden/>
              </w:rPr>
              <w:tab/>
            </w:r>
            <w:r>
              <w:rPr>
                <w:noProof/>
                <w:webHidden/>
              </w:rPr>
              <w:fldChar w:fldCharType="begin"/>
            </w:r>
            <w:r>
              <w:rPr>
                <w:noProof/>
                <w:webHidden/>
              </w:rPr>
              <w:instrText xml:space="preserve"> PAGEREF _Toc191487083 \h </w:instrText>
            </w:r>
            <w:r>
              <w:rPr>
                <w:noProof/>
                <w:webHidden/>
              </w:rPr>
            </w:r>
            <w:r>
              <w:rPr>
                <w:noProof/>
                <w:webHidden/>
              </w:rPr>
              <w:fldChar w:fldCharType="separate"/>
            </w:r>
            <w:r>
              <w:rPr>
                <w:noProof/>
                <w:webHidden/>
              </w:rPr>
              <w:t>17</w:t>
            </w:r>
            <w:r>
              <w:rPr>
                <w:noProof/>
                <w:webHidden/>
              </w:rPr>
              <w:fldChar w:fldCharType="end"/>
            </w:r>
          </w:hyperlink>
        </w:p>
        <w:p w14:paraId="15E351FD" w14:textId="58362ED4" w:rsidR="00742064" w:rsidRDefault="00742064">
          <w:pPr>
            <w:pStyle w:val="TOC1"/>
            <w:tabs>
              <w:tab w:val="left" w:pos="720"/>
              <w:tab w:val="right" w:leader="dot" w:pos="9350"/>
            </w:tabs>
            <w:rPr>
              <w:rFonts w:asciiTheme="minorHAnsi" w:eastAsiaTheme="minorEastAsia" w:hAnsiTheme="minorHAnsi" w:cstheme="minorBidi"/>
              <w:noProof/>
              <w:kern w:val="2"/>
              <w:lang w:val="it-IT" w:eastAsia="it-IT"/>
              <w14:ligatures w14:val="standardContextual"/>
            </w:rPr>
          </w:pPr>
          <w:hyperlink w:anchor="_Toc191487084" w:history="1">
            <w:r w:rsidRPr="00055B11">
              <w:rPr>
                <w:rStyle w:val="Hyperlink"/>
                <w:bCs/>
                <w:noProof/>
              </w:rPr>
              <w:t>10.</w:t>
            </w:r>
            <w:r>
              <w:rPr>
                <w:rFonts w:asciiTheme="minorHAnsi" w:eastAsiaTheme="minorEastAsia" w:hAnsiTheme="minorHAnsi" w:cstheme="minorBidi"/>
                <w:noProof/>
                <w:kern w:val="2"/>
                <w:lang w:val="it-IT" w:eastAsia="it-IT"/>
                <w14:ligatures w14:val="standardContextual"/>
              </w:rPr>
              <w:tab/>
            </w:r>
            <w:r w:rsidRPr="00055B11">
              <w:rPr>
                <w:rStyle w:val="Hyperlink"/>
                <w:bCs/>
                <w:noProof/>
              </w:rPr>
              <w:t>Penalties</w:t>
            </w:r>
            <w:r>
              <w:rPr>
                <w:noProof/>
                <w:webHidden/>
              </w:rPr>
              <w:tab/>
            </w:r>
            <w:r>
              <w:rPr>
                <w:noProof/>
                <w:webHidden/>
              </w:rPr>
              <w:fldChar w:fldCharType="begin"/>
            </w:r>
            <w:r>
              <w:rPr>
                <w:noProof/>
                <w:webHidden/>
              </w:rPr>
              <w:instrText xml:space="preserve"> PAGEREF _Toc191487084 \h </w:instrText>
            </w:r>
            <w:r>
              <w:rPr>
                <w:noProof/>
                <w:webHidden/>
              </w:rPr>
            </w:r>
            <w:r>
              <w:rPr>
                <w:noProof/>
                <w:webHidden/>
              </w:rPr>
              <w:fldChar w:fldCharType="separate"/>
            </w:r>
            <w:r>
              <w:rPr>
                <w:noProof/>
                <w:webHidden/>
              </w:rPr>
              <w:t>18</w:t>
            </w:r>
            <w:r>
              <w:rPr>
                <w:noProof/>
                <w:webHidden/>
              </w:rPr>
              <w:fldChar w:fldCharType="end"/>
            </w:r>
          </w:hyperlink>
        </w:p>
        <w:p w14:paraId="4CCD20B7" w14:textId="213E13A5" w:rsidR="00742064" w:rsidRDefault="00742064">
          <w:pPr>
            <w:pStyle w:val="TOC2"/>
            <w:tabs>
              <w:tab w:val="right" w:leader="dot" w:pos="9350"/>
            </w:tabs>
            <w:rPr>
              <w:rFonts w:asciiTheme="minorHAnsi" w:eastAsiaTheme="minorEastAsia" w:hAnsiTheme="minorHAnsi" w:cstheme="minorBidi"/>
              <w:noProof/>
              <w:kern w:val="2"/>
              <w:lang w:val="it-IT" w:eastAsia="it-IT"/>
              <w14:ligatures w14:val="standardContextual"/>
            </w:rPr>
          </w:pPr>
          <w:hyperlink w:anchor="_Toc191487085" w:history="1">
            <w:r w:rsidRPr="00055B11">
              <w:rPr>
                <w:rStyle w:val="Hyperlink"/>
                <w:rFonts w:eastAsiaTheme="majorEastAsia"/>
                <w:noProof/>
              </w:rPr>
              <w:t>10.1. Penalties for non-compliance with contractual deadlines (NCCD)</w:t>
            </w:r>
            <w:r>
              <w:rPr>
                <w:noProof/>
                <w:webHidden/>
              </w:rPr>
              <w:tab/>
            </w:r>
            <w:r>
              <w:rPr>
                <w:noProof/>
                <w:webHidden/>
              </w:rPr>
              <w:fldChar w:fldCharType="begin"/>
            </w:r>
            <w:r>
              <w:rPr>
                <w:noProof/>
                <w:webHidden/>
              </w:rPr>
              <w:instrText xml:space="preserve"> PAGEREF _Toc191487085 \h </w:instrText>
            </w:r>
            <w:r>
              <w:rPr>
                <w:noProof/>
                <w:webHidden/>
              </w:rPr>
            </w:r>
            <w:r>
              <w:rPr>
                <w:noProof/>
                <w:webHidden/>
              </w:rPr>
              <w:fldChar w:fldCharType="separate"/>
            </w:r>
            <w:r>
              <w:rPr>
                <w:noProof/>
                <w:webHidden/>
              </w:rPr>
              <w:t>18</w:t>
            </w:r>
            <w:r>
              <w:rPr>
                <w:noProof/>
                <w:webHidden/>
              </w:rPr>
              <w:fldChar w:fldCharType="end"/>
            </w:r>
          </w:hyperlink>
        </w:p>
        <w:p w14:paraId="746CE318" w14:textId="41F705E7" w:rsidR="00742064" w:rsidRDefault="00742064">
          <w:pPr>
            <w:pStyle w:val="TOC2"/>
            <w:tabs>
              <w:tab w:val="right" w:leader="dot" w:pos="9350"/>
            </w:tabs>
            <w:rPr>
              <w:rFonts w:asciiTheme="minorHAnsi" w:eastAsiaTheme="minorEastAsia" w:hAnsiTheme="minorHAnsi" w:cstheme="minorBidi"/>
              <w:noProof/>
              <w:kern w:val="2"/>
              <w:lang w:val="it-IT" w:eastAsia="it-IT"/>
              <w14:ligatures w14:val="standardContextual"/>
            </w:rPr>
          </w:pPr>
          <w:hyperlink w:anchor="_Toc191487086" w:history="1">
            <w:r w:rsidRPr="00055B11">
              <w:rPr>
                <w:rStyle w:val="Hyperlink"/>
                <w:rFonts w:eastAsiaTheme="majorEastAsia" w:cstheme="majorBidi"/>
                <w:noProof/>
              </w:rPr>
              <w:t>10.2. Penalties for non-compliance with corrective maintenance SLAs</w:t>
            </w:r>
            <w:r>
              <w:rPr>
                <w:noProof/>
                <w:webHidden/>
              </w:rPr>
              <w:tab/>
            </w:r>
            <w:r>
              <w:rPr>
                <w:noProof/>
                <w:webHidden/>
              </w:rPr>
              <w:fldChar w:fldCharType="begin"/>
            </w:r>
            <w:r>
              <w:rPr>
                <w:noProof/>
                <w:webHidden/>
              </w:rPr>
              <w:instrText xml:space="preserve"> PAGEREF _Toc191487086 \h </w:instrText>
            </w:r>
            <w:r>
              <w:rPr>
                <w:noProof/>
                <w:webHidden/>
              </w:rPr>
            </w:r>
            <w:r>
              <w:rPr>
                <w:noProof/>
                <w:webHidden/>
              </w:rPr>
              <w:fldChar w:fldCharType="separate"/>
            </w:r>
            <w:r>
              <w:rPr>
                <w:noProof/>
                <w:webHidden/>
              </w:rPr>
              <w:t>19</w:t>
            </w:r>
            <w:r>
              <w:rPr>
                <w:noProof/>
                <w:webHidden/>
              </w:rPr>
              <w:fldChar w:fldCharType="end"/>
            </w:r>
          </w:hyperlink>
        </w:p>
        <w:p w14:paraId="10510F06" w14:textId="37BFC43C" w:rsidR="00742064" w:rsidRDefault="00742064">
          <w:pPr>
            <w:pStyle w:val="TOC2"/>
            <w:tabs>
              <w:tab w:val="right" w:leader="dot" w:pos="9350"/>
            </w:tabs>
            <w:rPr>
              <w:rFonts w:asciiTheme="minorHAnsi" w:eastAsiaTheme="minorEastAsia" w:hAnsiTheme="minorHAnsi" w:cstheme="minorBidi"/>
              <w:noProof/>
              <w:kern w:val="2"/>
              <w:lang w:val="it-IT" w:eastAsia="it-IT"/>
              <w14:ligatures w14:val="standardContextual"/>
            </w:rPr>
          </w:pPr>
          <w:hyperlink w:anchor="_Toc191487087" w:history="1">
            <w:r w:rsidRPr="00055B11">
              <w:rPr>
                <w:rStyle w:val="Hyperlink"/>
                <w:rFonts w:eastAsiaTheme="majorEastAsia" w:cstheme="majorBidi"/>
                <w:noProof/>
              </w:rPr>
              <w:t>10.3. Penalties for non-compliance with enhancement maintenance SLAs</w:t>
            </w:r>
            <w:r>
              <w:rPr>
                <w:noProof/>
                <w:webHidden/>
              </w:rPr>
              <w:tab/>
            </w:r>
            <w:r>
              <w:rPr>
                <w:noProof/>
                <w:webHidden/>
              </w:rPr>
              <w:fldChar w:fldCharType="begin"/>
            </w:r>
            <w:r>
              <w:rPr>
                <w:noProof/>
                <w:webHidden/>
              </w:rPr>
              <w:instrText xml:space="preserve"> PAGEREF _Toc191487087 \h </w:instrText>
            </w:r>
            <w:r>
              <w:rPr>
                <w:noProof/>
                <w:webHidden/>
              </w:rPr>
            </w:r>
            <w:r>
              <w:rPr>
                <w:noProof/>
                <w:webHidden/>
              </w:rPr>
              <w:fldChar w:fldCharType="separate"/>
            </w:r>
            <w:r>
              <w:rPr>
                <w:noProof/>
                <w:webHidden/>
              </w:rPr>
              <w:t>19</w:t>
            </w:r>
            <w:r>
              <w:rPr>
                <w:noProof/>
                <w:webHidden/>
              </w:rPr>
              <w:fldChar w:fldCharType="end"/>
            </w:r>
          </w:hyperlink>
        </w:p>
        <w:p w14:paraId="10BA2409" w14:textId="1C7514DA" w:rsidR="00742064" w:rsidRDefault="00742064">
          <w:pPr>
            <w:pStyle w:val="TOC1"/>
            <w:tabs>
              <w:tab w:val="left" w:pos="720"/>
              <w:tab w:val="right" w:leader="dot" w:pos="9350"/>
            </w:tabs>
            <w:rPr>
              <w:rFonts w:asciiTheme="minorHAnsi" w:eastAsiaTheme="minorEastAsia" w:hAnsiTheme="minorHAnsi" w:cstheme="minorBidi"/>
              <w:noProof/>
              <w:kern w:val="2"/>
              <w:lang w:val="it-IT" w:eastAsia="it-IT"/>
              <w14:ligatures w14:val="standardContextual"/>
            </w:rPr>
          </w:pPr>
          <w:hyperlink w:anchor="_Toc191487088" w:history="1">
            <w:r w:rsidRPr="00055B11">
              <w:rPr>
                <w:rStyle w:val="Hyperlink"/>
                <w:noProof/>
              </w:rPr>
              <w:t>11.</w:t>
            </w:r>
            <w:r>
              <w:rPr>
                <w:rFonts w:asciiTheme="minorHAnsi" w:eastAsiaTheme="minorEastAsia" w:hAnsiTheme="minorHAnsi" w:cstheme="minorBidi"/>
                <w:noProof/>
                <w:kern w:val="2"/>
                <w:lang w:val="it-IT" w:eastAsia="it-IT"/>
                <w14:ligatures w14:val="standardContextual"/>
              </w:rPr>
              <w:tab/>
            </w:r>
            <w:r w:rsidRPr="00055B11">
              <w:rPr>
                <w:rStyle w:val="Hyperlink"/>
                <w:noProof/>
              </w:rPr>
              <w:t>Contract termination</w:t>
            </w:r>
            <w:r>
              <w:rPr>
                <w:noProof/>
                <w:webHidden/>
              </w:rPr>
              <w:tab/>
            </w:r>
            <w:r>
              <w:rPr>
                <w:noProof/>
                <w:webHidden/>
              </w:rPr>
              <w:fldChar w:fldCharType="begin"/>
            </w:r>
            <w:r>
              <w:rPr>
                <w:noProof/>
                <w:webHidden/>
              </w:rPr>
              <w:instrText xml:space="preserve"> PAGEREF _Toc191487088 \h </w:instrText>
            </w:r>
            <w:r>
              <w:rPr>
                <w:noProof/>
                <w:webHidden/>
              </w:rPr>
            </w:r>
            <w:r>
              <w:rPr>
                <w:noProof/>
                <w:webHidden/>
              </w:rPr>
              <w:fldChar w:fldCharType="separate"/>
            </w:r>
            <w:r>
              <w:rPr>
                <w:noProof/>
                <w:webHidden/>
              </w:rPr>
              <w:t>20</w:t>
            </w:r>
            <w:r>
              <w:rPr>
                <w:noProof/>
                <w:webHidden/>
              </w:rPr>
              <w:fldChar w:fldCharType="end"/>
            </w:r>
          </w:hyperlink>
        </w:p>
        <w:p w14:paraId="5005325A" w14:textId="5092FAE2" w:rsidR="00742064" w:rsidRDefault="00742064">
          <w:pPr>
            <w:pStyle w:val="TOC1"/>
            <w:tabs>
              <w:tab w:val="left" w:pos="720"/>
              <w:tab w:val="right" w:leader="dot" w:pos="9350"/>
            </w:tabs>
            <w:rPr>
              <w:rFonts w:asciiTheme="minorHAnsi" w:eastAsiaTheme="minorEastAsia" w:hAnsiTheme="minorHAnsi" w:cstheme="minorBidi"/>
              <w:noProof/>
              <w:kern w:val="2"/>
              <w:lang w:val="it-IT" w:eastAsia="it-IT"/>
              <w14:ligatures w14:val="standardContextual"/>
            </w:rPr>
          </w:pPr>
          <w:hyperlink w:anchor="_Toc191487089" w:history="1">
            <w:r w:rsidRPr="00055B11">
              <w:rPr>
                <w:rStyle w:val="Hyperlink"/>
                <w:noProof/>
              </w:rPr>
              <w:t>12.</w:t>
            </w:r>
            <w:r>
              <w:rPr>
                <w:rFonts w:asciiTheme="minorHAnsi" w:eastAsiaTheme="minorEastAsia" w:hAnsiTheme="minorHAnsi" w:cstheme="minorBidi"/>
                <w:noProof/>
                <w:kern w:val="2"/>
                <w:lang w:val="it-IT" w:eastAsia="it-IT"/>
                <w14:ligatures w14:val="standardContextual"/>
              </w:rPr>
              <w:tab/>
            </w:r>
            <w:r w:rsidRPr="00055B11">
              <w:rPr>
                <w:rStyle w:val="Hyperlink"/>
                <w:noProof/>
              </w:rPr>
              <w:t>Withdrawal</w:t>
            </w:r>
            <w:r>
              <w:rPr>
                <w:noProof/>
                <w:webHidden/>
              </w:rPr>
              <w:tab/>
            </w:r>
            <w:r>
              <w:rPr>
                <w:noProof/>
                <w:webHidden/>
              </w:rPr>
              <w:fldChar w:fldCharType="begin"/>
            </w:r>
            <w:r>
              <w:rPr>
                <w:noProof/>
                <w:webHidden/>
              </w:rPr>
              <w:instrText xml:space="preserve"> PAGEREF _Toc191487089 \h </w:instrText>
            </w:r>
            <w:r>
              <w:rPr>
                <w:noProof/>
                <w:webHidden/>
              </w:rPr>
            </w:r>
            <w:r>
              <w:rPr>
                <w:noProof/>
                <w:webHidden/>
              </w:rPr>
              <w:fldChar w:fldCharType="separate"/>
            </w:r>
            <w:r>
              <w:rPr>
                <w:noProof/>
                <w:webHidden/>
              </w:rPr>
              <w:t>21</w:t>
            </w:r>
            <w:r>
              <w:rPr>
                <w:noProof/>
                <w:webHidden/>
              </w:rPr>
              <w:fldChar w:fldCharType="end"/>
            </w:r>
          </w:hyperlink>
        </w:p>
        <w:p w14:paraId="726992AA" w14:textId="48808B98" w:rsidR="00742064" w:rsidRDefault="00742064">
          <w:pPr>
            <w:pStyle w:val="TOC1"/>
            <w:tabs>
              <w:tab w:val="left" w:pos="720"/>
              <w:tab w:val="right" w:leader="dot" w:pos="9350"/>
            </w:tabs>
            <w:rPr>
              <w:rFonts w:asciiTheme="minorHAnsi" w:eastAsiaTheme="minorEastAsia" w:hAnsiTheme="minorHAnsi" w:cstheme="minorBidi"/>
              <w:noProof/>
              <w:kern w:val="2"/>
              <w:lang w:val="it-IT" w:eastAsia="it-IT"/>
              <w14:ligatures w14:val="standardContextual"/>
            </w:rPr>
          </w:pPr>
          <w:hyperlink w:anchor="_Toc191487090" w:history="1">
            <w:r w:rsidRPr="00055B11">
              <w:rPr>
                <w:rStyle w:val="Hyperlink"/>
                <w:noProof/>
              </w:rPr>
              <w:t>13.</w:t>
            </w:r>
            <w:r>
              <w:rPr>
                <w:rFonts w:asciiTheme="minorHAnsi" w:eastAsiaTheme="minorEastAsia" w:hAnsiTheme="minorHAnsi" w:cstheme="minorBidi"/>
                <w:noProof/>
                <w:kern w:val="2"/>
                <w:lang w:val="it-IT" w:eastAsia="it-IT"/>
                <w14:ligatures w14:val="standardContextual"/>
              </w:rPr>
              <w:tab/>
            </w:r>
            <w:r w:rsidRPr="00055B11">
              <w:rPr>
                <w:rStyle w:val="Hyperlink"/>
                <w:noProof/>
              </w:rPr>
              <w:t>Technical background</w:t>
            </w:r>
            <w:r>
              <w:rPr>
                <w:noProof/>
                <w:webHidden/>
              </w:rPr>
              <w:tab/>
            </w:r>
            <w:r>
              <w:rPr>
                <w:noProof/>
                <w:webHidden/>
              </w:rPr>
              <w:fldChar w:fldCharType="begin"/>
            </w:r>
            <w:r>
              <w:rPr>
                <w:noProof/>
                <w:webHidden/>
              </w:rPr>
              <w:instrText xml:space="preserve"> PAGEREF _Toc191487090 \h </w:instrText>
            </w:r>
            <w:r>
              <w:rPr>
                <w:noProof/>
                <w:webHidden/>
              </w:rPr>
            </w:r>
            <w:r>
              <w:rPr>
                <w:noProof/>
                <w:webHidden/>
              </w:rPr>
              <w:fldChar w:fldCharType="separate"/>
            </w:r>
            <w:r>
              <w:rPr>
                <w:noProof/>
                <w:webHidden/>
              </w:rPr>
              <w:t>21</w:t>
            </w:r>
            <w:r>
              <w:rPr>
                <w:noProof/>
                <w:webHidden/>
              </w:rPr>
              <w:fldChar w:fldCharType="end"/>
            </w:r>
          </w:hyperlink>
        </w:p>
        <w:p w14:paraId="572C7A25" w14:textId="2C31481D" w:rsidR="00742064" w:rsidRDefault="00742064">
          <w:pPr>
            <w:pStyle w:val="TOC1"/>
            <w:tabs>
              <w:tab w:val="left" w:pos="720"/>
              <w:tab w:val="right" w:leader="dot" w:pos="9350"/>
            </w:tabs>
            <w:rPr>
              <w:rFonts w:asciiTheme="minorHAnsi" w:eastAsiaTheme="minorEastAsia" w:hAnsiTheme="minorHAnsi" w:cstheme="minorBidi"/>
              <w:noProof/>
              <w:kern w:val="2"/>
              <w:lang w:val="it-IT" w:eastAsia="it-IT"/>
              <w14:ligatures w14:val="standardContextual"/>
            </w:rPr>
          </w:pPr>
          <w:hyperlink w:anchor="_Toc191487091" w:history="1">
            <w:r w:rsidRPr="00055B11">
              <w:rPr>
                <w:rStyle w:val="Hyperlink"/>
                <w:noProof/>
              </w:rPr>
              <w:t>14.</w:t>
            </w:r>
            <w:r>
              <w:rPr>
                <w:rFonts w:asciiTheme="minorHAnsi" w:eastAsiaTheme="minorEastAsia" w:hAnsiTheme="minorHAnsi" w:cstheme="minorBidi"/>
                <w:noProof/>
                <w:kern w:val="2"/>
                <w:lang w:val="it-IT" w:eastAsia="it-IT"/>
                <w14:ligatures w14:val="standardContextual"/>
              </w:rPr>
              <w:tab/>
            </w:r>
            <w:r w:rsidRPr="00055B11">
              <w:rPr>
                <w:rStyle w:val="Hyperlink"/>
                <w:noProof/>
              </w:rPr>
              <w:t>Description and technical specifications</w:t>
            </w:r>
            <w:r>
              <w:rPr>
                <w:noProof/>
                <w:webHidden/>
              </w:rPr>
              <w:tab/>
            </w:r>
            <w:r>
              <w:rPr>
                <w:noProof/>
                <w:webHidden/>
              </w:rPr>
              <w:fldChar w:fldCharType="begin"/>
            </w:r>
            <w:r>
              <w:rPr>
                <w:noProof/>
                <w:webHidden/>
              </w:rPr>
              <w:instrText xml:space="preserve"> PAGEREF _Toc191487091 \h </w:instrText>
            </w:r>
            <w:r>
              <w:rPr>
                <w:noProof/>
                <w:webHidden/>
              </w:rPr>
            </w:r>
            <w:r>
              <w:rPr>
                <w:noProof/>
                <w:webHidden/>
              </w:rPr>
              <w:fldChar w:fldCharType="separate"/>
            </w:r>
            <w:r>
              <w:rPr>
                <w:noProof/>
                <w:webHidden/>
              </w:rPr>
              <w:t>22</w:t>
            </w:r>
            <w:r>
              <w:rPr>
                <w:noProof/>
                <w:webHidden/>
              </w:rPr>
              <w:fldChar w:fldCharType="end"/>
            </w:r>
          </w:hyperlink>
        </w:p>
        <w:p w14:paraId="6056B6FB" w14:textId="62002375" w:rsidR="00742064" w:rsidRDefault="00742064">
          <w:pPr>
            <w:pStyle w:val="TOC1"/>
            <w:tabs>
              <w:tab w:val="left" w:pos="720"/>
              <w:tab w:val="right" w:leader="dot" w:pos="9350"/>
            </w:tabs>
            <w:rPr>
              <w:rFonts w:asciiTheme="minorHAnsi" w:eastAsiaTheme="minorEastAsia" w:hAnsiTheme="minorHAnsi" w:cstheme="minorBidi"/>
              <w:noProof/>
              <w:kern w:val="2"/>
              <w:lang w:val="it-IT" w:eastAsia="it-IT"/>
              <w14:ligatures w14:val="standardContextual"/>
            </w:rPr>
          </w:pPr>
          <w:hyperlink w:anchor="_Toc191487092" w:history="1">
            <w:r w:rsidRPr="00055B11">
              <w:rPr>
                <w:rStyle w:val="Hyperlink"/>
                <w:bCs/>
                <w:noProof/>
              </w:rPr>
              <w:t>15.</w:t>
            </w:r>
            <w:r>
              <w:rPr>
                <w:rFonts w:asciiTheme="minorHAnsi" w:eastAsiaTheme="minorEastAsia" w:hAnsiTheme="minorHAnsi" w:cstheme="minorBidi"/>
                <w:noProof/>
                <w:kern w:val="2"/>
                <w:lang w:val="it-IT" w:eastAsia="it-IT"/>
                <w14:ligatures w14:val="standardContextual"/>
              </w:rPr>
              <w:tab/>
            </w:r>
            <w:r w:rsidRPr="00055B11">
              <w:rPr>
                <w:rStyle w:val="Hyperlink"/>
                <w:bCs/>
                <w:noProof/>
              </w:rPr>
              <w:t>Functional and technical requirements</w:t>
            </w:r>
            <w:r>
              <w:rPr>
                <w:noProof/>
                <w:webHidden/>
              </w:rPr>
              <w:tab/>
            </w:r>
            <w:r>
              <w:rPr>
                <w:noProof/>
                <w:webHidden/>
              </w:rPr>
              <w:fldChar w:fldCharType="begin"/>
            </w:r>
            <w:r>
              <w:rPr>
                <w:noProof/>
                <w:webHidden/>
              </w:rPr>
              <w:instrText xml:space="preserve"> PAGEREF _Toc191487092 \h </w:instrText>
            </w:r>
            <w:r>
              <w:rPr>
                <w:noProof/>
                <w:webHidden/>
              </w:rPr>
            </w:r>
            <w:r>
              <w:rPr>
                <w:noProof/>
                <w:webHidden/>
              </w:rPr>
              <w:fldChar w:fldCharType="separate"/>
            </w:r>
            <w:r>
              <w:rPr>
                <w:noProof/>
                <w:webHidden/>
              </w:rPr>
              <w:t>22</w:t>
            </w:r>
            <w:r>
              <w:rPr>
                <w:noProof/>
                <w:webHidden/>
              </w:rPr>
              <w:fldChar w:fldCharType="end"/>
            </w:r>
          </w:hyperlink>
        </w:p>
        <w:p w14:paraId="79B69758" w14:textId="10576C09" w:rsidR="00742064" w:rsidRDefault="00742064">
          <w:pPr>
            <w:pStyle w:val="TOC2"/>
            <w:tabs>
              <w:tab w:val="right" w:leader="dot" w:pos="9350"/>
            </w:tabs>
            <w:rPr>
              <w:rFonts w:asciiTheme="minorHAnsi" w:eastAsiaTheme="minorEastAsia" w:hAnsiTheme="minorHAnsi" w:cstheme="minorBidi"/>
              <w:noProof/>
              <w:kern w:val="2"/>
              <w:lang w:val="it-IT" w:eastAsia="it-IT"/>
              <w14:ligatures w14:val="standardContextual"/>
            </w:rPr>
          </w:pPr>
          <w:hyperlink w:anchor="_Toc191487093" w:history="1">
            <w:r w:rsidRPr="00055B11">
              <w:rPr>
                <w:rStyle w:val="Hyperlink"/>
                <w:rFonts w:eastAsiaTheme="majorEastAsia" w:cstheme="majorBidi"/>
                <w:noProof/>
              </w:rPr>
              <w:t>15.1. Functional requirements:</w:t>
            </w:r>
            <w:r>
              <w:rPr>
                <w:noProof/>
                <w:webHidden/>
              </w:rPr>
              <w:tab/>
            </w:r>
            <w:r>
              <w:rPr>
                <w:noProof/>
                <w:webHidden/>
              </w:rPr>
              <w:fldChar w:fldCharType="begin"/>
            </w:r>
            <w:r>
              <w:rPr>
                <w:noProof/>
                <w:webHidden/>
              </w:rPr>
              <w:instrText xml:space="preserve"> PAGEREF _Toc191487093 \h </w:instrText>
            </w:r>
            <w:r>
              <w:rPr>
                <w:noProof/>
                <w:webHidden/>
              </w:rPr>
            </w:r>
            <w:r>
              <w:rPr>
                <w:noProof/>
                <w:webHidden/>
              </w:rPr>
              <w:fldChar w:fldCharType="separate"/>
            </w:r>
            <w:r>
              <w:rPr>
                <w:noProof/>
                <w:webHidden/>
              </w:rPr>
              <w:t>22</w:t>
            </w:r>
            <w:r>
              <w:rPr>
                <w:noProof/>
                <w:webHidden/>
              </w:rPr>
              <w:fldChar w:fldCharType="end"/>
            </w:r>
          </w:hyperlink>
        </w:p>
        <w:p w14:paraId="6CD8F4D7" w14:textId="12267606" w:rsidR="00742064" w:rsidRDefault="00742064">
          <w:pPr>
            <w:pStyle w:val="TOC2"/>
            <w:tabs>
              <w:tab w:val="right" w:leader="dot" w:pos="9350"/>
            </w:tabs>
            <w:rPr>
              <w:rFonts w:asciiTheme="minorHAnsi" w:eastAsiaTheme="minorEastAsia" w:hAnsiTheme="minorHAnsi" w:cstheme="minorBidi"/>
              <w:noProof/>
              <w:kern w:val="2"/>
              <w:lang w:val="it-IT" w:eastAsia="it-IT"/>
              <w14:ligatures w14:val="standardContextual"/>
            </w:rPr>
          </w:pPr>
          <w:hyperlink w:anchor="_Toc191487094" w:history="1">
            <w:r w:rsidRPr="00055B11">
              <w:rPr>
                <w:rStyle w:val="Hyperlink"/>
                <w:rFonts w:eastAsiaTheme="majorEastAsia" w:cstheme="majorBidi"/>
                <w:noProof/>
              </w:rPr>
              <w:t>15.2. Technical requirements:</w:t>
            </w:r>
            <w:r>
              <w:rPr>
                <w:noProof/>
                <w:webHidden/>
              </w:rPr>
              <w:tab/>
            </w:r>
            <w:r>
              <w:rPr>
                <w:noProof/>
                <w:webHidden/>
              </w:rPr>
              <w:fldChar w:fldCharType="begin"/>
            </w:r>
            <w:r>
              <w:rPr>
                <w:noProof/>
                <w:webHidden/>
              </w:rPr>
              <w:instrText xml:space="preserve"> PAGEREF _Toc191487094 \h </w:instrText>
            </w:r>
            <w:r>
              <w:rPr>
                <w:noProof/>
                <w:webHidden/>
              </w:rPr>
            </w:r>
            <w:r>
              <w:rPr>
                <w:noProof/>
                <w:webHidden/>
              </w:rPr>
              <w:fldChar w:fldCharType="separate"/>
            </w:r>
            <w:r>
              <w:rPr>
                <w:noProof/>
                <w:webHidden/>
              </w:rPr>
              <w:t>23</w:t>
            </w:r>
            <w:r>
              <w:rPr>
                <w:noProof/>
                <w:webHidden/>
              </w:rPr>
              <w:fldChar w:fldCharType="end"/>
            </w:r>
          </w:hyperlink>
        </w:p>
        <w:p w14:paraId="5A35CF45" w14:textId="32FD4D91" w:rsidR="00742064" w:rsidRDefault="00742064">
          <w:pPr>
            <w:pStyle w:val="TOC2"/>
            <w:tabs>
              <w:tab w:val="right" w:leader="dot" w:pos="9350"/>
            </w:tabs>
            <w:rPr>
              <w:rFonts w:asciiTheme="minorHAnsi" w:eastAsiaTheme="minorEastAsia" w:hAnsiTheme="minorHAnsi" w:cstheme="minorBidi"/>
              <w:noProof/>
              <w:kern w:val="2"/>
              <w:lang w:val="it-IT" w:eastAsia="it-IT"/>
              <w14:ligatures w14:val="standardContextual"/>
            </w:rPr>
          </w:pPr>
          <w:hyperlink w:anchor="_Toc191487095" w:history="1">
            <w:r w:rsidRPr="00055B11">
              <w:rPr>
                <w:rStyle w:val="Hyperlink"/>
                <w:rFonts w:eastAsiaTheme="majorEastAsia" w:cstheme="majorBidi"/>
                <w:noProof/>
              </w:rPr>
              <w:t>15.3. Minimum interoperability requirements</w:t>
            </w:r>
            <w:r>
              <w:rPr>
                <w:noProof/>
                <w:webHidden/>
              </w:rPr>
              <w:tab/>
            </w:r>
            <w:r>
              <w:rPr>
                <w:noProof/>
                <w:webHidden/>
              </w:rPr>
              <w:fldChar w:fldCharType="begin"/>
            </w:r>
            <w:r>
              <w:rPr>
                <w:noProof/>
                <w:webHidden/>
              </w:rPr>
              <w:instrText xml:space="preserve"> PAGEREF _Toc191487095 \h </w:instrText>
            </w:r>
            <w:r>
              <w:rPr>
                <w:noProof/>
                <w:webHidden/>
              </w:rPr>
            </w:r>
            <w:r>
              <w:rPr>
                <w:noProof/>
                <w:webHidden/>
              </w:rPr>
              <w:fldChar w:fldCharType="separate"/>
            </w:r>
            <w:r>
              <w:rPr>
                <w:noProof/>
                <w:webHidden/>
              </w:rPr>
              <w:t>26</w:t>
            </w:r>
            <w:r>
              <w:rPr>
                <w:noProof/>
                <w:webHidden/>
              </w:rPr>
              <w:fldChar w:fldCharType="end"/>
            </w:r>
          </w:hyperlink>
        </w:p>
        <w:p w14:paraId="5D5D6AF2" w14:textId="158A1560" w:rsidR="00742064" w:rsidRDefault="00742064">
          <w:pPr>
            <w:pStyle w:val="TOC2"/>
            <w:tabs>
              <w:tab w:val="right" w:leader="dot" w:pos="9350"/>
            </w:tabs>
            <w:rPr>
              <w:rFonts w:asciiTheme="minorHAnsi" w:eastAsiaTheme="minorEastAsia" w:hAnsiTheme="minorHAnsi" w:cstheme="minorBidi"/>
              <w:noProof/>
              <w:kern w:val="2"/>
              <w:lang w:val="it-IT" w:eastAsia="it-IT"/>
              <w14:ligatures w14:val="standardContextual"/>
            </w:rPr>
          </w:pPr>
          <w:hyperlink w:anchor="_Toc191487096" w:history="1">
            <w:r w:rsidRPr="00055B11">
              <w:rPr>
                <w:rStyle w:val="Hyperlink"/>
                <w:rFonts w:eastAsiaTheme="majorEastAsia" w:cstheme="majorBidi"/>
                <w:noProof/>
              </w:rPr>
              <w:t>15.4. Minimum environmental requirements</w:t>
            </w:r>
            <w:r>
              <w:rPr>
                <w:noProof/>
                <w:webHidden/>
              </w:rPr>
              <w:tab/>
            </w:r>
            <w:r>
              <w:rPr>
                <w:noProof/>
                <w:webHidden/>
              </w:rPr>
              <w:fldChar w:fldCharType="begin"/>
            </w:r>
            <w:r>
              <w:rPr>
                <w:noProof/>
                <w:webHidden/>
              </w:rPr>
              <w:instrText xml:space="preserve"> PAGEREF _Toc191487096 \h </w:instrText>
            </w:r>
            <w:r>
              <w:rPr>
                <w:noProof/>
                <w:webHidden/>
              </w:rPr>
            </w:r>
            <w:r>
              <w:rPr>
                <w:noProof/>
                <w:webHidden/>
              </w:rPr>
              <w:fldChar w:fldCharType="separate"/>
            </w:r>
            <w:r>
              <w:rPr>
                <w:noProof/>
                <w:webHidden/>
              </w:rPr>
              <w:t>29</w:t>
            </w:r>
            <w:r>
              <w:rPr>
                <w:noProof/>
                <w:webHidden/>
              </w:rPr>
              <w:fldChar w:fldCharType="end"/>
            </w:r>
          </w:hyperlink>
        </w:p>
        <w:p w14:paraId="63DCC0CB" w14:textId="52AA76F3" w:rsidR="00742064" w:rsidRDefault="00742064">
          <w:pPr>
            <w:pStyle w:val="TOC2"/>
            <w:tabs>
              <w:tab w:val="right" w:leader="dot" w:pos="9350"/>
            </w:tabs>
            <w:rPr>
              <w:rFonts w:asciiTheme="minorHAnsi" w:eastAsiaTheme="minorEastAsia" w:hAnsiTheme="minorHAnsi" w:cstheme="minorBidi"/>
              <w:noProof/>
              <w:kern w:val="2"/>
              <w:lang w:val="it-IT" w:eastAsia="it-IT"/>
              <w14:ligatures w14:val="standardContextual"/>
            </w:rPr>
          </w:pPr>
          <w:hyperlink w:anchor="_Toc191487097" w:history="1">
            <w:r w:rsidRPr="00055B11">
              <w:rPr>
                <w:rStyle w:val="Hyperlink"/>
                <w:rFonts w:eastAsiaTheme="majorEastAsia" w:cstheme="majorBidi"/>
                <w:noProof/>
              </w:rPr>
              <w:t>15.5. Data, privacy, data protection and security requirements</w:t>
            </w:r>
            <w:r>
              <w:rPr>
                <w:noProof/>
                <w:webHidden/>
              </w:rPr>
              <w:tab/>
            </w:r>
            <w:r>
              <w:rPr>
                <w:noProof/>
                <w:webHidden/>
              </w:rPr>
              <w:fldChar w:fldCharType="begin"/>
            </w:r>
            <w:r>
              <w:rPr>
                <w:noProof/>
                <w:webHidden/>
              </w:rPr>
              <w:instrText xml:space="preserve"> PAGEREF _Toc191487097 \h </w:instrText>
            </w:r>
            <w:r>
              <w:rPr>
                <w:noProof/>
                <w:webHidden/>
              </w:rPr>
            </w:r>
            <w:r>
              <w:rPr>
                <w:noProof/>
                <w:webHidden/>
              </w:rPr>
              <w:fldChar w:fldCharType="separate"/>
            </w:r>
            <w:r>
              <w:rPr>
                <w:noProof/>
                <w:webHidden/>
              </w:rPr>
              <w:t>29</w:t>
            </w:r>
            <w:r>
              <w:rPr>
                <w:noProof/>
                <w:webHidden/>
              </w:rPr>
              <w:fldChar w:fldCharType="end"/>
            </w:r>
          </w:hyperlink>
        </w:p>
        <w:p w14:paraId="26DD27C1" w14:textId="1043FA95" w:rsidR="00742064" w:rsidRDefault="00742064">
          <w:pPr>
            <w:pStyle w:val="TOC1"/>
            <w:tabs>
              <w:tab w:val="left" w:pos="720"/>
              <w:tab w:val="right" w:leader="dot" w:pos="9350"/>
            </w:tabs>
            <w:rPr>
              <w:rFonts w:asciiTheme="minorHAnsi" w:eastAsiaTheme="minorEastAsia" w:hAnsiTheme="minorHAnsi" w:cstheme="minorBidi"/>
              <w:noProof/>
              <w:kern w:val="2"/>
              <w:lang w:val="it-IT" w:eastAsia="it-IT"/>
              <w14:ligatures w14:val="standardContextual"/>
            </w:rPr>
          </w:pPr>
          <w:hyperlink w:anchor="_Toc191487098" w:history="1">
            <w:r w:rsidRPr="00055B11">
              <w:rPr>
                <w:rStyle w:val="Hyperlink"/>
                <w:noProof/>
              </w:rPr>
              <w:t>16.</w:t>
            </w:r>
            <w:r>
              <w:rPr>
                <w:rFonts w:asciiTheme="minorHAnsi" w:eastAsiaTheme="minorEastAsia" w:hAnsiTheme="minorHAnsi" w:cstheme="minorBidi"/>
                <w:noProof/>
                <w:kern w:val="2"/>
                <w:lang w:val="it-IT" w:eastAsia="it-IT"/>
                <w14:ligatures w14:val="standardContextual"/>
              </w:rPr>
              <w:tab/>
            </w:r>
            <w:r w:rsidRPr="00055B11">
              <w:rPr>
                <w:rStyle w:val="Hyperlink"/>
                <w:noProof/>
              </w:rPr>
              <w:t>Applicable law</w:t>
            </w:r>
            <w:r>
              <w:rPr>
                <w:noProof/>
                <w:webHidden/>
              </w:rPr>
              <w:tab/>
            </w:r>
            <w:r>
              <w:rPr>
                <w:noProof/>
                <w:webHidden/>
              </w:rPr>
              <w:fldChar w:fldCharType="begin"/>
            </w:r>
            <w:r>
              <w:rPr>
                <w:noProof/>
                <w:webHidden/>
              </w:rPr>
              <w:instrText xml:space="preserve"> PAGEREF _Toc191487098 \h </w:instrText>
            </w:r>
            <w:r>
              <w:rPr>
                <w:noProof/>
                <w:webHidden/>
              </w:rPr>
            </w:r>
            <w:r>
              <w:rPr>
                <w:noProof/>
                <w:webHidden/>
              </w:rPr>
              <w:fldChar w:fldCharType="separate"/>
            </w:r>
            <w:r>
              <w:rPr>
                <w:noProof/>
                <w:webHidden/>
              </w:rPr>
              <w:t>36</w:t>
            </w:r>
            <w:r>
              <w:rPr>
                <w:noProof/>
                <w:webHidden/>
              </w:rPr>
              <w:fldChar w:fldCharType="end"/>
            </w:r>
          </w:hyperlink>
        </w:p>
        <w:p w14:paraId="05BCABC5" w14:textId="0D4AE232" w:rsidR="007023D1" w:rsidRPr="002229B8" w:rsidRDefault="007023D1" w:rsidP="007023D1">
          <w:pPr>
            <w:pStyle w:val="TOC1"/>
            <w:tabs>
              <w:tab w:val="right" w:leader="dot" w:pos="9360"/>
            </w:tabs>
            <w:rPr>
              <w:rStyle w:val="Hyperlink"/>
              <w:noProof/>
              <w:kern w:val="2"/>
              <w14:ligatures w14:val="standardContextual"/>
            </w:rPr>
          </w:pPr>
          <w:r w:rsidRPr="002229B8">
            <w:fldChar w:fldCharType="end"/>
          </w:r>
        </w:p>
      </w:sdtContent>
    </w:sdt>
    <w:p w14:paraId="12DD3A71" w14:textId="77777777" w:rsidR="00A33ED1" w:rsidRPr="002229B8" w:rsidRDefault="00A33ED1">
      <w:pPr>
        <w:spacing w:before="0" w:beforeAutospacing="0" w:after="160" w:afterAutospacing="0" w:line="259" w:lineRule="auto"/>
        <w:jc w:val="left"/>
        <w:rPr>
          <w:rFonts w:eastAsiaTheme="majorEastAsia" w:cstheme="majorBidi"/>
          <w:b/>
          <w:spacing w:val="-10"/>
          <w:kern w:val="28"/>
          <w:sz w:val="28"/>
          <w:szCs w:val="56"/>
        </w:rPr>
      </w:pPr>
      <w:r w:rsidRPr="002229B8">
        <w:br w:type="page"/>
      </w:r>
    </w:p>
    <w:p w14:paraId="1948B1E1" w14:textId="77777777" w:rsidR="00A33ED1" w:rsidRPr="002229B8" w:rsidRDefault="00A33ED1" w:rsidP="00A33ED1">
      <w:pPr>
        <w:pStyle w:val="TOCHeading"/>
        <w:ind w:left="360"/>
        <w:rPr>
          <w:rFonts w:ascii="Times New Roman" w:hAnsi="Times New Roman" w:cs="Times New Roman"/>
          <w:b/>
          <w:bCs/>
          <w:color w:val="auto"/>
          <w:lang w:val="en-GB"/>
        </w:rPr>
      </w:pPr>
      <w:r w:rsidRPr="002229B8">
        <w:rPr>
          <w:rFonts w:ascii="Times New Roman" w:hAnsi="Times New Roman" w:cs="Times New Roman"/>
          <w:b/>
          <w:bCs/>
          <w:color w:val="auto"/>
          <w:lang w:val="en-GB"/>
        </w:rPr>
        <w:lastRenderedPageBreak/>
        <w:t>List of tables</w:t>
      </w:r>
    </w:p>
    <w:p w14:paraId="2B9915B7" w14:textId="0427C71C" w:rsidR="00742064" w:rsidRDefault="00A33ED1">
      <w:pPr>
        <w:pStyle w:val="TableofFigures"/>
        <w:tabs>
          <w:tab w:val="right" w:leader="dot" w:pos="9350"/>
        </w:tabs>
        <w:rPr>
          <w:rFonts w:asciiTheme="minorHAnsi" w:eastAsiaTheme="minorEastAsia" w:hAnsiTheme="minorHAnsi" w:cstheme="minorBidi"/>
          <w:noProof/>
          <w:kern w:val="2"/>
          <w:lang w:val="it-IT" w:eastAsia="it-IT"/>
          <w14:ligatures w14:val="standardContextual"/>
        </w:rPr>
      </w:pPr>
      <w:r w:rsidRPr="002229B8">
        <w:rPr>
          <w:rFonts w:eastAsiaTheme="majorEastAsia" w:cstheme="majorBidi"/>
          <w:b/>
          <w:spacing w:val="-10"/>
          <w:kern w:val="28"/>
          <w:sz w:val="28"/>
          <w:szCs w:val="56"/>
        </w:rPr>
        <w:fldChar w:fldCharType="begin"/>
      </w:r>
      <w:r w:rsidRPr="002229B8">
        <w:rPr>
          <w:rFonts w:eastAsiaTheme="majorEastAsia" w:cstheme="majorBidi"/>
          <w:b/>
          <w:spacing w:val="-10"/>
          <w:kern w:val="28"/>
          <w:sz w:val="28"/>
          <w:szCs w:val="56"/>
        </w:rPr>
        <w:instrText xml:space="preserve"> TOC \h \z \c "Table" </w:instrText>
      </w:r>
      <w:r w:rsidRPr="002229B8">
        <w:rPr>
          <w:rFonts w:eastAsiaTheme="majorEastAsia" w:cstheme="majorBidi"/>
          <w:b/>
          <w:spacing w:val="-10"/>
          <w:kern w:val="28"/>
          <w:sz w:val="28"/>
          <w:szCs w:val="56"/>
        </w:rPr>
        <w:fldChar w:fldCharType="separate"/>
      </w:r>
      <w:hyperlink w:anchor="_Toc191487099" w:history="1">
        <w:r w:rsidR="00742064" w:rsidRPr="000820E7">
          <w:rPr>
            <w:rStyle w:val="Hyperlink"/>
            <w:noProof/>
          </w:rPr>
          <w:t>Table 1 - SLA schedule</w:t>
        </w:r>
        <w:r w:rsidR="00742064">
          <w:rPr>
            <w:noProof/>
            <w:webHidden/>
          </w:rPr>
          <w:tab/>
        </w:r>
        <w:r w:rsidR="00742064">
          <w:rPr>
            <w:noProof/>
            <w:webHidden/>
          </w:rPr>
          <w:fldChar w:fldCharType="begin"/>
        </w:r>
        <w:r w:rsidR="00742064">
          <w:rPr>
            <w:noProof/>
            <w:webHidden/>
          </w:rPr>
          <w:instrText xml:space="preserve"> PAGEREF _Toc191487099 \h </w:instrText>
        </w:r>
        <w:r w:rsidR="00742064">
          <w:rPr>
            <w:noProof/>
            <w:webHidden/>
          </w:rPr>
        </w:r>
        <w:r w:rsidR="00742064">
          <w:rPr>
            <w:noProof/>
            <w:webHidden/>
          </w:rPr>
          <w:fldChar w:fldCharType="separate"/>
        </w:r>
        <w:r w:rsidR="00742064">
          <w:rPr>
            <w:noProof/>
            <w:webHidden/>
          </w:rPr>
          <w:t>18</w:t>
        </w:r>
        <w:r w:rsidR="00742064">
          <w:rPr>
            <w:noProof/>
            <w:webHidden/>
          </w:rPr>
          <w:fldChar w:fldCharType="end"/>
        </w:r>
      </w:hyperlink>
    </w:p>
    <w:p w14:paraId="2AE2DC75" w14:textId="775597B4" w:rsidR="00742064" w:rsidRDefault="00742064">
      <w:pPr>
        <w:pStyle w:val="TableofFigures"/>
        <w:tabs>
          <w:tab w:val="right" w:leader="dot" w:pos="9350"/>
        </w:tabs>
        <w:rPr>
          <w:rFonts w:asciiTheme="minorHAnsi" w:eastAsiaTheme="minorEastAsia" w:hAnsiTheme="minorHAnsi" w:cstheme="minorBidi"/>
          <w:noProof/>
          <w:kern w:val="2"/>
          <w:lang w:val="it-IT" w:eastAsia="it-IT"/>
          <w14:ligatures w14:val="standardContextual"/>
        </w:rPr>
      </w:pPr>
      <w:hyperlink w:anchor="_Toc191487100" w:history="1">
        <w:r w:rsidRPr="000820E7">
          <w:rPr>
            <w:rStyle w:val="Hyperlink"/>
            <w:noProof/>
          </w:rPr>
          <w:t>Table 2 - Applicable MIMs</w:t>
        </w:r>
        <w:r>
          <w:rPr>
            <w:noProof/>
            <w:webHidden/>
          </w:rPr>
          <w:tab/>
        </w:r>
        <w:r>
          <w:rPr>
            <w:noProof/>
            <w:webHidden/>
          </w:rPr>
          <w:fldChar w:fldCharType="begin"/>
        </w:r>
        <w:r>
          <w:rPr>
            <w:noProof/>
            <w:webHidden/>
          </w:rPr>
          <w:instrText xml:space="preserve"> PAGEREF _Toc191487100 \h </w:instrText>
        </w:r>
        <w:r>
          <w:rPr>
            <w:noProof/>
            <w:webHidden/>
          </w:rPr>
        </w:r>
        <w:r>
          <w:rPr>
            <w:noProof/>
            <w:webHidden/>
          </w:rPr>
          <w:fldChar w:fldCharType="separate"/>
        </w:r>
        <w:r>
          <w:rPr>
            <w:noProof/>
            <w:webHidden/>
          </w:rPr>
          <w:t>28</w:t>
        </w:r>
        <w:r>
          <w:rPr>
            <w:noProof/>
            <w:webHidden/>
          </w:rPr>
          <w:fldChar w:fldCharType="end"/>
        </w:r>
      </w:hyperlink>
    </w:p>
    <w:p w14:paraId="79DF9859" w14:textId="5C303936" w:rsidR="007023D1" w:rsidRPr="002229B8" w:rsidRDefault="00A33ED1" w:rsidP="00F47DAF">
      <w:pPr>
        <w:pStyle w:val="Title"/>
        <w:jc w:val="left"/>
        <w:rPr>
          <w:b w:val="0"/>
        </w:rPr>
      </w:pPr>
      <w:r w:rsidRPr="002229B8">
        <w:rPr>
          <w:b w:val="0"/>
        </w:rPr>
        <w:fldChar w:fldCharType="end"/>
      </w:r>
      <w:r w:rsidR="007023D1" w:rsidRPr="002229B8">
        <w:br w:type="page"/>
      </w:r>
    </w:p>
    <w:p w14:paraId="11E493BF" w14:textId="77777777" w:rsidR="007023D1" w:rsidRPr="002229B8" w:rsidRDefault="007023D1" w:rsidP="007023D1">
      <w:pPr>
        <w:rPr>
          <w:rFonts w:eastAsiaTheme="majorEastAsia"/>
          <w:b/>
          <w:sz w:val="32"/>
          <w:szCs w:val="32"/>
        </w:rPr>
      </w:pPr>
      <w:r w:rsidRPr="002229B8">
        <w:rPr>
          <w:rFonts w:eastAsiaTheme="majorEastAsia"/>
          <w:b/>
          <w:bCs/>
          <w:sz w:val="32"/>
          <w:szCs w:val="32"/>
        </w:rPr>
        <w:lastRenderedPageBreak/>
        <w:t xml:space="preserve">Reference </w:t>
      </w:r>
      <w:r w:rsidRPr="002229B8">
        <w:rPr>
          <w:b/>
          <w:bCs/>
          <w:sz w:val="32"/>
          <w:szCs w:val="32"/>
        </w:rPr>
        <w:t xml:space="preserve">– </w:t>
      </w:r>
      <w:r w:rsidRPr="002229B8">
        <w:rPr>
          <w:rFonts w:eastAsiaTheme="majorEastAsia"/>
          <w:b/>
          <w:bCs/>
          <w:sz w:val="32"/>
          <w:szCs w:val="32"/>
        </w:rPr>
        <w:t>NOT TO BE INCLUDED IN THE PUBLISHED TENDER</w:t>
      </w:r>
    </w:p>
    <w:p w14:paraId="61CFC958" w14:textId="5AA57BD4" w:rsidR="009715E6" w:rsidRPr="002229B8" w:rsidRDefault="009715E6" w:rsidP="009715E6">
      <w:pPr>
        <w:spacing w:before="160" w:beforeAutospacing="0" w:after="160" w:afterAutospacing="0" w:line="276" w:lineRule="auto"/>
        <w:ind w:left="-14" w:right="-14"/>
        <w:rPr>
          <w:b/>
          <w:bCs/>
          <w:color w:val="000000" w:themeColor="text1"/>
        </w:rPr>
      </w:pPr>
      <w:r w:rsidRPr="002229B8">
        <w:rPr>
          <w:color w:val="000000" w:themeColor="text1"/>
        </w:rPr>
        <w:t xml:space="preserve">The present procurement template document is </w:t>
      </w:r>
      <w:r w:rsidRPr="002229B8">
        <w:rPr>
          <w:b/>
          <w:bCs/>
          <w:color w:val="000000" w:themeColor="text1"/>
        </w:rPr>
        <w:t xml:space="preserve">designed to support the procurement of </w:t>
      </w:r>
      <w:r w:rsidR="00CC2814" w:rsidRPr="002229B8">
        <w:rPr>
          <w:b/>
          <w:bCs/>
          <w:color w:val="000000" w:themeColor="text1"/>
        </w:rPr>
        <w:t>software application development and/or maintenance services</w:t>
      </w:r>
      <w:r w:rsidR="00CC2814" w:rsidRPr="002229B8">
        <w:rPr>
          <w:color w:val="000000" w:themeColor="text1"/>
        </w:rPr>
        <w:t xml:space="preserve"> </w:t>
      </w:r>
      <w:r w:rsidRPr="002229B8">
        <w:rPr>
          <w:color w:val="000000" w:themeColor="text1"/>
        </w:rPr>
        <w:t xml:space="preserve">and explicitly addresses the </w:t>
      </w:r>
      <w:r w:rsidRPr="002229B8">
        <w:rPr>
          <w:b/>
          <w:bCs/>
          <w:color w:val="000000" w:themeColor="text1"/>
        </w:rPr>
        <w:t xml:space="preserve">procurement object of </w:t>
      </w:r>
      <w:r w:rsidR="00AE5274" w:rsidRPr="002229B8">
        <w:rPr>
          <w:b/>
          <w:bCs/>
          <w:color w:val="000000" w:themeColor="text1"/>
        </w:rPr>
        <w:t>middleware software</w:t>
      </w:r>
      <w:r w:rsidRPr="002229B8">
        <w:rPr>
          <w:b/>
          <w:bCs/>
          <w:color w:val="000000" w:themeColor="text1"/>
        </w:rPr>
        <w:t>.</w:t>
      </w:r>
    </w:p>
    <w:p w14:paraId="12736566" w14:textId="77777777" w:rsidR="0013752B" w:rsidRDefault="006E0373" w:rsidP="006E0373">
      <w:pPr>
        <w:spacing w:before="160" w:beforeAutospacing="0" w:after="160" w:afterAutospacing="0" w:line="276" w:lineRule="auto"/>
        <w:ind w:left="-14" w:right="-14"/>
      </w:pPr>
      <w:r>
        <w:t xml:space="preserve">The purpose of this document is to support cities and communities with a standardised procurement template that can be used when launching a tender to procure smart-city-related items. This reference section provides a short guide for cities and communities to customise the procurement template provided (i.e., the Tender Specification template and the present </w:t>
      </w:r>
      <w:r>
        <w:rPr>
          <w:i/>
        </w:rPr>
        <w:t>Annex 7</w:t>
      </w:r>
      <w:r>
        <w:t xml:space="preserve"> - </w:t>
      </w:r>
      <w:r>
        <w:rPr>
          <w:i/>
        </w:rPr>
        <w:t xml:space="preserve">Technical </w:t>
      </w:r>
      <w:r>
        <w:rPr>
          <w:i/>
          <w:iCs/>
        </w:rPr>
        <w:t>S</w:t>
      </w:r>
      <w:r>
        <w:rPr>
          <w:i/>
        </w:rPr>
        <w:t>pecifications</w:t>
      </w:r>
      <w:r>
        <w:t>). In particular, Annex 7 should be read in conjunction with the Tender Specifications template.</w:t>
      </w:r>
      <w:r>
        <w:rPr>
          <w:color w:val="000000" w:themeColor="text1"/>
        </w:rPr>
        <w:t xml:space="preserve"> </w:t>
      </w:r>
      <w:r>
        <w:t>This annex complements the Tender Specifications template by providing a structured set of technical and functional requirements tailored to the procurement object. While the Tender Specifications template outlines the overarching procurement framework, tender strategy and rules, this annex details the expected service levels (where applicable), integration, as well as technical and functional compliance criteria. The two documents are complementary and must be used together to ensure alignment between tender strategy, implementation, tender rules and technical compliance of the objects of procurement.</w:t>
      </w:r>
    </w:p>
    <w:tbl>
      <w:tblPr>
        <w:tblStyle w:val="TableGrid"/>
        <w:tblW w:w="0" w:type="auto"/>
        <w:shd w:val="clear" w:color="auto" w:fill="E7E6E6" w:themeFill="background2"/>
        <w:tblLook w:val="04A0" w:firstRow="1" w:lastRow="0" w:firstColumn="1" w:lastColumn="0" w:noHBand="0" w:noVBand="1"/>
      </w:tblPr>
      <w:tblGrid>
        <w:gridCol w:w="9350"/>
      </w:tblGrid>
      <w:tr w:rsidR="0013752B" w:rsidRPr="0013752B" w14:paraId="2526E8D9" w14:textId="77777777" w:rsidTr="0013752B">
        <w:tc>
          <w:tcPr>
            <w:tcW w:w="9350"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7005AF67" w14:textId="77777777" w:rsidR="0013752B" w:rsidRDefault="0013752B">
            <w:pPr>
              <w:spacing w:before="160" w:beforeAutospacing="0" w:after="0" w:afterAutospacing="0" w:line="276" w:lineRule="auto"/>
              <w:ind w:right="-14"/>
              <w:rPr>
                <w:b/>
                <w:bCs/>
              </w:rPr>
            </w:pPr>
            <w:r>
              <w:rPr>
                <w:b/>
                <w:bCs/>
              </w:rPr>
              <w:t xml:space="preserve">Disclaimer: </w:t>
            </w:r>
            <w:r>
              <w:t>These documents provide a foundational framework for defining contractual conditions, functional and technical requirements. However, it is the sole responsibility of the Contracting Authority to ensure that all specifications are complete, accurate, and aligned with their specific needs and objectives. The producer of these documents does not assume liability for any omissions, inaccuracies, or inadequacies in the provided content.</w:t>
            </w:r>
          </w:p>
        </w:tc>
      </w:tr>
    </w:tbl>
    <w:p w14:paraId="78853390" w14:textId="77777777" w:rsidR="006E0373" w:rsidRDefault="006E0373" w:rsidP="006E0373">
      <w:pPr>
        <w:spacing w:before="160" w:beforeAutospacing="0" w:after="160" w:afterAutospacing="0" w:line="276" w:lineRule="auto"/>
        <w:ind w:left="-14" w:right="-14"/>
      </w:pPr>
      <w:r>
        <w:t>The template has been developed in a modular approach to equip cities and communities with the most comprehensive set of information. Specifically, mandatory sections include clearly labelled optional sections, which cities and communities can tailor according to their specific needs. If a (sub)section is not labelled as optional, then it can be considered mandatory for inclusion.</w:t>
      </w:r>
    </w:p>
    <w:p w14:paraId="3082BBFF" w14:textId="77777777" w:rsidR="007023D1" w:rsidRPr="002229B8" w:rsidRDefault="007023D1" w:rsidP="007023D1">
      <w:pPr>
        <w:spacing w:before="160" w:beforeAutospacing="0" w:after="160" w:afterAutospacing="0" w:line="276" w:lineRule="auto"/>
        <w:ind w:right="-14"/>
      </w:pPr>
      <w:r w:rsidRPr="002229B8">
        <w:rPr>
          <w:bCs/>
        </w:rPr>
        <w:t xml:space="preserve">When tailoring the procurement template documents, cities and communities can find the modifiable section highlighted in different colours, with suggestions on how to fill the sections in brackets. Specifically: </w:t>
      </w:r>
    </w:p>
    <w:p w14:paraId="2272F2E4" w14:textId="77777777" w:rsidR="007023D1" w:rsidRPr="002229B8" w:rsidRDefault="007023D1" w:rsidP="00B17E1F">
      <w:pPr>
        <w:pStyle w:val="ListParagraph"/>
        <w:numPr>
          <w:ilvl w:val="0"/>
          <w:numId w:val="8"/>
        </w:numPr>
        <w:spacing w:before="160" w:beforeAutospacing="0" w:after="160" w:afterAutospacing="0" w:line="276" w:lineRule="auto"/>
        <w:ind w:left="576" w:hanging="576"/>
        <w:contextualSpacing/>
      </w:pPr>
      <w:r w:rsidRPr="002229B8">
        <w:rPr>
          <w:color w:val="C45911" w:themeColor="accent2" w:themeShade="BF"/>
        </w:rPr>
        <w:t>References</w:t>
      </w:r>
      <w:r w:rsidRPr="002229B8">
        <w:t xml:space="preserve"> in </w:t>
      </w:r>
      <w:r w:rsidRPr="002229B8">
        <w:rPr>
          <w:bCs/>
          <w:color w:val="C45911" w:themeColor="accent2" w:themeShade="BF"/>
        </w:rPr>
        <w:t xml:space="preserve">orange </w:t>
      </w:r>
      <w:r w:rsidRPr="002229B8">
        <w:rPr>
          <w:bCs/>
        </w:rPr>
        <w:t xml:space="preserve">prompt to customise the highlighted sections with relevant information duly indicated (e.g. specifying city names, web addresses, choosing between alternative options that suit the Contracting Authority’s (CA) needs, etc.) to tailor the templates to the specific cities and communities context. </w:t>
      </w:r>
    </w:p>
    <w:p w14:paraId="2EDCD2B8" w14:textId="77777777" w:rsidR="007023D1" w:rsidRPr="002229B8" w:rsidRDefault="007023D1" w:rsidP="00B17E1F">
      <w:pPr>
        <w:pStyle w:val="ListParagraph"/>
        <w:numPr>
          <w:ilvl w:val="0"/>
          <w:numId w:val="8"/>
        </w:numPr>
        <w:spacing w:before="160" w:beforeAutospacing="0" w:after="160" w:afterAutospacing="0" w:line="276" w:lineRule="auto"/>
        <w:ind w:left="576" w:hanging="576"/>
        <w:contextualSpacing/>
      </w:pPr>
      <w:r w:rsidRPr="002229B8">
        <w:rPr>
          <w:color w:val="0000FF"/>
        </w:rPr>
        <w:lastRenderedPageBreak/>
        <w:t>References</w:t>
      </w:r>
      <w:r w:rsidRPr="002229B8">
        <w:t xml:space="preserve"> in </w:t>
      </w:r>
      <w:r w:rsidRPr="002229B8">
        <w:rPr>
          <w:bCs/>
          <w:color w:val="0000FF"/>
        </w:rPr>
        <w:t xml:space="preserve">blue </w:t>
      </w:r>
      <w:r w:rsidRPr="002229B8">
        <w:rPr>
          <w:bCs/>
        </w:rPr>
        <w:t xml:space="preserve">require the integration of necessary details regarding the specific national legal framework; for instance, the incorporation of applicable national procurement legislation and/or other relevant regulations will need to be indicated. </w:t>
      </w:r>
    </w:p>
    <w:p w14:paraId="478CC412" w14:textId="77777777" w:rsidR="00675333" w:rsidRPr="002229B8" w:rsidRDefault="00675333" w:rsidP="007023D1">
      <w:pPr>
        <w:spacing w:before="160" w:beforeAutospacing="0" w:after="160" w:afterAutospacing="0" w:line="276" w:lineRule="auto"/>
        <w:ind w:left="-14" w:right="-14"/>
        <w:rPr>
          <w:bCs/>
        </w:rPr>
      </w:pPr>
      <w:r w:rsidRPr="002229B8">
        <w:rPr>
          <w:bCs/>
        </w:rPr>
        <w:t>In addition, this document proposes the option to divide the call for tenders into multiple lots for various reasons, based on each CA’s needs and objectives. For instance, a CA may decide to utilise multiple lots based on relevant criteria such as division into lots by functional/merchandise group, geographical, performance, etc. The CA can use the dedicated references in orange to structure the tender accordingly.</w:t>
      </w:r>
    </w:p>
    <w:p w14:paraId="688CB808" w14:textId="5DDECDDF" w:rsidR="007023D1" w:rsidRPr="002229B8" w:rsidRDefault="007023D1" w:rsidP="007023D1">
      <w:pPr>
        <w:spacing w:before="160" w:beforeAutospacing="0" w:after="160" w:afterAutospacing="0" w:line="276" w:lineRule="auto"/>
        <w:ind w:left="-14" w:right="-14"/>
        <w:rPr>
          <w:bCs/>
        </w:rPr>
      </w:pPr>
      <w:r w:rsidRPr="002229B8">
        <w:rPr>
          <w:bCs/>
        </w:rPr>
        <w:t xml:space="preserve">Therefore, </w:t>
      </w:r>
      <w:r w:rsidRPr="002229B8">
        <w:t xml:space="preserve">the above-described </w:t>
      </w:r>
      <w:r w:rsidRPr="002229B8">
        <w:rPr>
          <w:bCs/>
        </w:rPr>
        <w:t xml:space="preserve">reference must be utilised as guiding </w:t>
      </w:r>
      <w:r w:rsidRPr="002229B8">
        <w:t>remarks to adapt this template to the given CA’s specific procurement needs</w:t>
      </w:r>
      <w:r w:rsidRPr="002229B8">
        <w:rPr>
          <w:bCs/>
        </w:rPr>
        <w:t xml:space="preserve">. </w:t>
      </w:r>
    </w:p>
    <w:p w14:paraId="797CE6EA" w14:textId="77777777" w:rsidR="007023D1" w:rsidRPr="002229B8" w:rsidRDefault="007023D1" w:rsidP="007023D1">
      <w:pPr>
        <w:spacing w:before="160" w:beforeAutospacing="0" w:after="160" w:afterAutospacing="0" w:line="276" w:lineRule="auto"/>
        <w:ind w:left="-14" w:right="-14"/>
        <w:rPr>
          <w:b/>
        </w:rPr>
      </w:pPr>
      <w:r w:rsidRPr="002229B8">
        <w:rPr>
          <w:b/>
        </w:rPr>
        <w:t>[PLEASE REMOVE THIS SECTION WHEN LAUNCHING A NEW TENDER. START FROM THE FIRST ARTICLE (1. FOREWORD)]</w:t>
      </w:r>
    </w:p>
    <w:p w14:paraId="47B3A14F" w14:textId="77777777" w:rsidR="007023D1" w:rsidRPr="002229B8" w:rsidRDefault="007023D1" w:rsidP="007023D1">
      <w:pPr>
        <w:spacing w:before="0" w:beforeAutospacing="0" w:after="160" w:afterAutospacing="0" w:line="259" w:lineRule="auto"/>
        <w:jc w:val="left"/>
        <w:rPr>
          <w:bCs/>
        </w:rPr>
      </w:pPr>
      <w:r w:rsidRPr="002229B8">
        <w:br w:type="page"/>
      </w:r>
    </w:p>
    <w:p w14:paraId="514028BE" w14:textId="28338D32" w:rsidR="007023D1" w:rsidRPr="002229B8" w:rsidRDefault="007023D1" w:rsidP="00B17E1F">
      <w:pPr>
        <w:pStyle w:val="Heading1"/>
        <w:numPr>
          <w:ilvl w:val="0"/>
          <w:numId w:val="2"/>
        </w:numPr>
        <w:ind w:left="567" w:hanging="567"/>
        <w:rPr>
          <w:rStyle w:val="Heading1Char"/>
          <w:b/>
          <w:bCs/>
        </w:rPr>
      </w:pPr>
      <w:bookmarkStart w:id="2" w:name="_Toc191487069"/>
      <w:r w:rsidRPr="002229B8">
        <w:rPr>
          <w:rStyle w:val="Heading1Char"/>
          <w:b/>
          <w:bCs/>
        </w:rPr>
        <w:lastRenderedPageBreak/>
        <w:t xml:space="preserve">General </w:t>
      </w:r>
      <w:r w:rsidR="00DA1576" w:rsidRPr="002229B8">
        <w:rPr>
          <w:rStyle w:val="Heading1Char"/>
          <w:b/>
          <w:bCs/>
        </w:rPr>
        <w:t xml:space="preserve">Background </w:t>
      </w:r>
      <w:r w:rsidR="00C35611" w:rsidRPr="002229B8">
        <w:rPr>
          <w:rStyle w:val="Heading1Char"/>
          <w:b/>
          <w:bCs/>
        </w:rPr>
        <w:t>a</w:t>
      </w:r>
      <w:r w:rsidR="00DA1576" w:rsidRPr="002229B8">
        <w:rPr>
          <w:rStyle w:val="Heading1Char"/>
          <w:b/>
          <w:bCs/>
        </w:rPr>
        <w:t>nd Context</w:t>
      </w:r>
      <w:bookmarkEnd w:id="2"/>
    </w:p>
    <w:p w14:paraId="2567E115" w14:textId="77777777" w:rsidR="007023D1" w:rsidRPr="002229B8" w:rsidRDefault="007023D1" w:rsidP="007023D1">
      <w:pPr>
        <w:spacing w:before="240" w:beforeAutospacing="0" w:after="240" w:afterAutospacing="0"/>
      </w:pPr>
      <w:r w:rsidRPr="002229B8">
        <w:t>Local Digital Twins (LDTs) are a virtual representation of physical assets and processes within a geographically located community, which reflect and derive from cross-sectorial, historical and (near) real-time data. Their purpose is to enhance evidence-based decision-making at the operational, strategic and tactical levels to meet the needs of communities better. LDTs combine multiple technologies, such as data analytics and Artificial Intelligence (AI), enabling predictive and simulation models that can be updated and changed as their physical equivalents change.</w:t>
      </w:r>
    </w:p>
    <w:p w14:paraId="1D32B73A" w14:textId="77777777" w:rsidR="007023D1" w:rsidRPr="002229B8" w:rsidRDefault="007023D1" w:rsidP="007023D1">
      <w:pPr>
        <w:spacing w:before="240" w:beforeAutospacing="0" w:after="240" w:afterAutospacing="0"/>
      </w:pPr>
      <w:r w:rsidRPr="002229B8">
        <w:t>In the pursuit of smarter and more sustainable cities, the implementation of LDTs marks a significant milestone. By employing the</w:t>
      </w:r>
      <w:r w:rsidRPr="002229B8" w:rsidDel="00EE246C">
        <w:t xml:space="preserve"> </w:t>
      </w:r>
      <w:r w:rsidRPr="002229B8">
        <w:t xml:space="preserve">potential of data analytics and AI, the creation of accurate digital representations of urban spaces is enabled. These representations allow sophisticated simulations and decision-making processes, leveraging historical records and real-time data inputs. As a result, resource management and public service delivery can be enhanced, fostering evidence-based decision-making across operational, strategic, and tactical domains. </w:t>
      </w:r>
    </w:p>
    <w:p w14:paraId="3DABE252" w14:textId="77777777" w:rsidR="007023D1" w:rsidRPr="002229B8" w:rsidRDefault="007023D1" w:rsidP="007023D1">
      <w:pPr>
        <w:spacing w:before="240" w:beforeAutospacing="0" w:after="240" w:afterAutospacing="0"/>
      </w:pPr>
      <w:r w:rsidRPr="002229B8">
        <w:t>Cities and communities are adopting LDTs, implementing a wide array of potential use cases. The most common applications for cities and communities are traffic and transportation management, environmental monitoring and sustainability, and general smart city management. Additionally, they can support citizen-centric initiatives to reduce inequality, such as implementing effective housing policies. Furthermore, LDTs can enhance service maintenance, provide data and legal assistance, facilitate tax payment oversight, and aid in procurement decisions. By leveraging LDTs, cities can unlock diverse benefits, including operational efficiency, informed decision-making, and enhanced citizen satisfaction, ultimately contributing to more sustainable and liveable urban environments. Such transformational tools benefit major metropolitan areas and technologically advanced regions and extend their benefits to smaller communities aiming for higher digitalisation levels. Looking ahead, European cities and communities are committed to developing LDTs, recognising the necessity for specific technical capabilities.</w:t>
      </w:r>
    </w:p>
    <w:p w14:paraId="0A74B58F" w14:textId="37AB8990" w:rsidR="00C80A39" w:rsidRPr="002229B8" w:rsidRDefault="00C80A39" w:rsidP="00C80A39">
      <w:pPr>
        <w:spacing w:before="0" w:beforeAutospacing="0" w:after="240" w:afterAutospacing="0"/>
        <w:rPr>
          <w:color w:val="000000" w:themeColor="text1"/>
        </w:rPr>
      </w:pPr>
      <w:r w:rsidRPr="002229B8">
        <w:rPr>
          <w:color w:val="000000" w:themeColor="text1"/>
        </w:rPr>
        <w:t xml:space="preserve">Among the necessary technical capabilities, the </w:t>
      </w:r>
      <w:r w:rsidR="00574705" w:rsidRPr="002229B8">
        <w:t xml:space="preserve">development and/or </w:t>
      </w:r>
      <w:r w:rsidR="00574705" w:rsidRPr="002229B8">
        <w:rPr>
          <w:color w:val="000000" w:themeColor="text1"/>
        </w:rPr>
        <w:t xml:space="preserve">maintenance services for middleware software applications are </w:t>
      </w:r>
      <w:r w:rsidRPr="002229B8">
        <w:rPr>
          <w:color w:val="000000" w:themeColor="text1"/>
        </w:rPr>
        <w:t>fundamental one</w:t>
      </w:r>
      <w:r w:rsidR="00574705" w:rsidRPr="002229B8">
        <w:rPr>
          <w:color w:val="000000" w:themeColor="text1"/>
        </w:rPr>
        <w:t>s</w:t>
      </w:r>
      <w:r w:rsidRPr="002229B8">
        <w:rPr>
          <w:color w:val="000000" w:themeColor="text1"/>
        </w:rPr>
        <w:t>. Software development</w:t>
      </w:r>
      <w:r w:rsidR="00574705" w:rsidRPr="002229B8">
        <w:rPr>
          <w:color w:val="000000" w:themeColor="text1"/>
        </w:rPr>
        <w:t xml:space="preserve"> application</w:t>
      </w:r>
      <w:r w:rsidRPr="002229B8">
        <w:rPr>
          <w:color w:val="000000" w:themeColor="text1"/>
        </w:rPr>
        <w:t xml:space="preserve"> </w:t>
      </w:r>
      <w:r w:rsidR="00083C55" w:rsidRPr="002229B8">
        <w:rPr>
          <w:color w:val="000000" w:themeColor="text1"/>
        </w:rPr>
        <w:t>services,</w:t>
      </w:r>
      <w:r w:rsidRPr="002229B8">
        <w:rPr>
          <w:color w:val="000000" w:themeColor="text1"/>
        </w:rPr>
        <w:t xml:space="preserve"> in particular middleware software, which are the subject of this call for tenders, play a </w:t>
      </w:r>
      <w:r w:rsidRPr="008E5FEF">
        <w:rPr>
          <w:color w:val="000000" w:themeColor="text1"/>
        </w:rPr>
        <w:t xml:space="preserve">crucial role within the LDT context. They facilitate the seamless transfer and processing of data across various digital platforms. Effective software </w:t>
      </w:r>
      <w:r w:rsidR="00BC7AF8" w:rsidRPr="008E5FEF">
        <w:rPr>
          <w:color w:val="000000" w:themeColor="text1"/>
        </w:rPr>
        <w:t>application development services are</w:t>
      </w:r>
      <w:r w:rsidR="00BC7AF8" w:rsidRPr="002229B8">
        <w:rPr>
          <w:color w:val="000000" w:themeColor="text1"/>
        </w:rPr>
        <w:t xml:space="preserve"> </w:t>
      </w:r>
      <w:r w:rsidRPr="002229B8">
        <w:rPr>
          <w:color w:val="000000" w:themeColor="text1"/>
        </w:rPr>
        <w:t xml:space="preserve">fundamental for cohesive integration within the framework of an LDT, which leads to tangible benefits for the community by enhancing service quality </w:t>
      </w:r>
      <w:r w:rsidR="00947368" w:rsidRPr="002229B8">
        <w:rPr>
          <w:color w:val="000000" w:themeColor="text1"/>
        </w:rPr>
        <w:t xml:space="preserve">levels </w:t>
      </w:r>
      <w:r w:rsidRPr="002229B8">
        <w:rPr>
          <w:color w:val="000000" w:themeColor="text1"/>
        </w:rPr>
        <w:t>and performance.</w:t>
      </w:r>
    </w:p>
    <w:p w14:paraId="1B72BBC1" w14:textId="4506D9FD" w:rsidR="007023D1" w:rsidRPr="002229B8" w:rsidRDefault="00325F53" w:rsidP="007023D1">
      <w:pPr>
        <w:spacing w:before="240" w:beforeAutospacing="0" w:after="240" w:afterAutospacing="0"/>
      </w:pPr>
      <w:r w:rsidRPr="002229B8">
        <w:t>This document of Technical Specifications forms an Annex of the Tender Specifications document and provides functional and technical requirements of the abovementioned object. Initially, definitions employed in the document are presented along with relevant interpretation criteria (Section 2). Consecutively, the object, deliverable, and timetable of the procurement are illustrated (Sections 3, 4 and 5). Following, the contractual conditions are outlined (Sections 6 to 12). Various sections emphasise technical and functional characteristics and requirements of software development servi</w:t>
      </w:r>
      <w:r w:rsidR="004D10CC" w:rsidRPr="002229B8">
        <w:t>ces</w:t>
      </w:r>
      <w:r w:rsidRPr="002229B8">
        <w:t xml:space="preserve"> to be procured, including Minimum Interoperability Mechanisms (MIMs) requirements (Sections 13, 14, and 15). The final section outlines the law applicable to this tender (Section 16).</w:t>
      </w:r>
    </w:p>
    <w:p w14:paraId="1B9990D7" w14:textId="0F4F02A8" w:rsidR="007023D1" w:rsidRPr="002229B8" w:rsidRDefault="007023D1" w:rsidP="00B17E1F">
      <w:pPr>
        <w:pStyle w:val="Heading1"/>
        <w:numPr>
          <w:ilvl w:val="0"/>
          <w:numId w:val="2"/>
        </w:numPr>
        <w:ind w:left="567" w:hanging="567"/>
        <w:rPr>
          <w:rStyle w:val="Heading1Char"/>
          <w:b/>
          <w:bCs/>
        </w:rPr>
      </w:pPr>
      <w:bookmarkStart w:id="3" w:name="_Toc191487070"/>
      <w:r w:rsidRPr="002229B8">
        <w:rPr>
          <w:rStyle w:val="Heading1Char"/>
          <w:b/>
          <w:bCs/>
        </w:rPr>
        <w:lastRenderedPageBreak/>
        <w:t>Definitions</w:t>
      </w:r>
      <w:bookmarkEnd w:id="3"/>
      <w:r w:rsidRPr="002229B8">
        <w:rPr>
          <w:rStyle w:val="Heading1Char"/>
          <w:b/>
          <w:bCs/>
        </w:rPr>
        <w:t xml:space="preserve"> </w:t>
      </w:r>
    </w:p>
    <w:p w14:paraId="1971B7B5" w14:textId="77777777" w:rsidR="00C672F4" w:rsidRPr="002229B8" w:rsidRDefault="00C672F4" w:rsidP="00C672F4">
      <w:pPr>
        <w:spacing w:before="240" w:beforeAutospacing="0" w:after="240" w:afterAutospacing="0"/>
      </w:pPr>
      <w:r w:rsidRPr="002229B8">
        <w:t>The following is a list of acronyms and definitions that are used in these Technical Specifications:</w:t>
      </w:r>
    </w:p>
    <w:p w14:paraId="3AA16515" w14:textId="77777777" w:rsidR="00C672F4" w:rsidRPr="002229B8" w:rsidRDefault="00C672F4" w:rsidP="00B17E1F">
      <w:pPr>
        <w:pStyle w:val="ListParagraph"/>
        <w:numPr>
          <w:ilvl w:val="0"/>
          <w:numId w:val="5"/>
        </w:numPr>
        <w:spacing w:before="240" w:beforeAutospacing="0" w:after="240" w:afterAutospacing="0"/>
      </w:pPr>
      <w:r w:rsidRPr="002229B8">
        <w:rPr>
          <w:b/>
          <w:bCs/>
        </w:rPr>
        <w:t>AI</w:t>
      </w:r>
      <w:r w:rsidRPr="002229B8">
        <w:t>: Artificial Intelligence (AI), in its broadest sense, refers to computer systems designed to perform tasks that simulate human intelligence, such as learning, problem-solving, and decision-making, relying on algorithms and data to analyse patterns, make predictions, and adapt to changing circumstances without explicit programming for each task. AI may encompass various technologies, including machine learning, natural language processing, and robotics.</w:t>
      </w:r>
    </w:p>
    <w:p w14:paraId="5CAFB7A9" w14:textId="77777777" w:rsidR="00C672F4" w:rsidRPr="002229B8" w:rsidRDefault="00C672F4" w:rsidP="00B17E1F">
      <w:pPr>
        <w:pStyle w:val="ListParagraph"/>
        <w:numPr>
          <w:ilvl w:val="0"/>
          <w:numId w:val="5"/>
        </w:numPr>
        <w:spacing w:before="240" w:beforeAutospacing="0" w:after="240" w:afterAutospacing="0"/>
      </w:pPr>
      <w:r w:rsidRPr="002229B8">
        <w:rPr>
          <w:b/>
        </w:rPr>
        <w:t>CA</w:t>
      </w:r>
      <w:r w:rsidRPr="002229B8">
        <w:t xml:space="preserve">: The Contracting Authority (CA) is the organisation or Entity seeking goods, services, or works through a procurement process. The CAs issue tenders and are responsible for </w:t>
      </w:r>
      <w:bookmarkStart w:id="4" w:name="_Hlk173161477"/>
      <w:r w:rsidRPr="002229B8">
        <w:t>evaluating</w:t>
      </w:r>
      <w:bookmarkEnd w:id="4"/>
      <w:r w:rsidRPr="002229B8">
        <w:t xml:space="preserve"> and awarding contracts to suitable contractors.</w:t>
      </w:r>
    </w:p>
    <w:p w14:paraId="5C25B0D9" w14:textId="77777777" w:rsidR="00C672F4" w:rsidRPr="002229B8" w:rsidRDefault="00C672F4" w:rsidP="00B17E1F">
      <w:pPr>
        <w:pStyle w:val="ListParagraph"/>
        <w:numPr>
          <w:ilvl w:val="0"/>
          <w:numId w:val="5"/>
        </w:numPr>
        <w:spacing w:before="240" w:beforeAutospacing="0" w:after="240" w:afterAutospacing="0"/>
      </w:pPr>
      <w:r w:rsidRPr="002229B8">
        <w:rPr>
          <w:b/>
          <w:bCs/>
        </w:rPr>
        <w:t xml:space="preserve">Contractor: </w:t>
      </w:r>
      <w:r w:rsidRPr="002229B8">
        <w:t>a legal entity to whom a procurement contract is awarded to provide goods, services, and/or works to a CA in response to a tender.</w:t>
      </w:r>
    </w:p>
    <w:p w14:paraId="2CFE6899" w14:textId="77777777" w:rsidR="00C672F4" w:rsidRPr="002229B8" w:rsidRDefault="00C672F4" w:rsidP="00B17E1F">
      <w:pPr>
        <w:pStyle w:val="ListParagraph"/>
        <w:numPr>
          <w:ilvl w:val="0"/>
          <w:numId w:val="5"/>
        </w:numPr>
        <w:spacing w:before="240" w:beforeAutospacing="0" w:after="240" w:afterAutospacing="0"/>
      </w:pPr>
      <w:r w:rsidRPr="002229B8">
        <w:rPr>
          <w:b/>
        </w:rPr>
        <w:t>Contract Manager (CM)</w:t>
      </w:r>
      <w:r w:rsidRPr="002229B8">
        <w:t xml:space="preserve">: </w:t>
      </w:r>
      <w:bookmarkStart w:id="5" w:name="_Hlk173161518"/>
      <w:r w:rsidRPr="002229B8">
        <w:t xml:space="preserve">The Contract Manager (CM) is </w:t>
      </w:r>
      <w:bookmarkEnd w:id="5"/>
      <w:r w:rsidRPr="002229B8">
        <w:t>a</w:t>
      </w:r>
      <w:r w:rsidRPr="002229B8" w:rsidDel="00D14957">
        <w:t xml:space="preserve"> </w:t>
      </w:r>
      <w:r w:rsidRPr="002229B8">
        <w:t xml:space="preserve">figure responsible for overseeing and administering contracts between a CA and its </w:t>
      </w:r>
      <w:bookmarkStart w:id="6" w:name="_Hlk173161525"/>
      <w:r w:rsidRPr="002229B8">
        <w:t>contractors</w:t>
      </w:r>
      <w:bookmarkEnd w:id="6"/>
      <w:r w:rsidRPr="002229B8">
        <w:t>. They ensure that all parties adhere to the terms and conditions outlined in the contract throughout its duration.</w:t>
      </w:r>
    </w:p>
    <w:p w14:paraId="36FF8169" w14:textId="77777777" w:rsidR="00C672F4" w:rsidRPr="002229B8" w:rsidRDefault="00C672F4" w:rsidP="00B17E1F">
      <w:pPr>
        <w:pStyle w:val="ListParagraph"/>
        <w:numPr>
          <w:ilvl w:val="0"/>
          <w:numId w:val="5"/>
        </w:numPr>
        <w:spacing w:before="240" w:beforeAutospacing="0" w:after="240" w:afterAutospacing="0"/>
      </w:pPr>
      <w:r w:rsidRPr="002229B8">
        <w:rPr>
          <w:b/>
        </w:rPr>
        <w:t>Corrective maintenance (software/application)</w:t>
      </w:r>
      <w:r w:rsidRPr="002229B8">
        <w:t xml:space="preserve">: refers to the process of diagnosing and fixing errors or defects in software </w:t>
      </w:r>
      <w:bookmarkStart w:id="7" w:name="_Hlk173161534"/>
      <w:r w:rsidRPr="002229B8">
        <w:t>and/</w:t>
      </w:r>
      <w:bookmarkEnd w:id="7"/>
      <w:r w:rsidRPr="002229B8">
        <w:t>or applications after they have been discovered. This type of maintenance aims to restore the software to its proper working condition, ensuring it operates as intended without functional issues.</w:t>
      </w:r>
    </w:p>
    <w:p w14:paraId="03146C18" w14:textId="77777777" w:rsidR="00C672F4" w:rsidRPr="002229B8" w:rsidRDefault="00C672F4" w:rsidP="00B17E1F">
      <w:pPr>
        <w:pStyle w:val="ListParagraph"/>
        <w:numPr>
          <w:ilvl w:val="0"/>
          <w:numId w:val="5"/>
        </w:numPr>
        <w:spacing w:before="240" w:beforeAutospacing="0" w:after="240" w:afterAutospacing="0"/>
      </w:pPr>
      <w:r w:rsidRPr="002229B8">
        <w:rPr>
          <w:b/>
        </w:rPr>
        <w:t>CPV</w:t>
      </w:r>
      <w:r w:rsidRPr="002229B8">
        <w:t>: Common Procurement Vocabulary; establishes a single classification system for public procurement aimed at standardising the references used by contracting authorities and entities to describe procurement contracts.</w:t>
      </w:r>
    </w:p>
    <w:p w14:paraId="41838B1E" w14:textId="77777777" w:rsidR="00C672F4" w:rsidRPr="002229B8" w:rsidRDefault="00C672F4" w:rsidP="00B17E1F">
      <w:pPr>
        <w:pStyle w:val="ListParagraph"/>
        <w:numPr>
          <w:ilvl w:val="0"/>
          <w:numId w:val="5"/>
        </w:numPr>
        <w:spacing w:before="240" w:beforeAutospacing="0" w:after="240" w:afterAutospacing="0"/>
      </w:pPr>
      <w:r w:rsidRPr="002229B8">
        <w:rPr>
          <w:b/>
        </w:rPr>
        <w:t>Directive</w:t>
      </w:r>
      <w:r w:rsidRPr="002229B8">
        <w:t>: A legislative act issued by the European Union outlining a goal and specific requirements or procedures that EU Member States must achieve. It is transposed at the national level by Member States.</w:t>
      </w:r>
    </w:p>
    <w:p w14:paraId="6E7CD2CB" w14:textId="77777777" w:rsidR="00C672F4" w:rsidRPr="002229B8" w:rsidRDefault="00C672F4" w:rsidP="00B17E1F">
      <w:pPr>
        <w:pStyle w:val="ListParagraph"/>
        <w:numPr>
          <w:ilvl w:val="0"/>
          <w:numId w:val="5"/>
        </w:numPr>
        <w:spacing w:before="240" w:beforeAutospacing="0" w:after="240" w:afterAutospacing="0"/>
      </w:pPr>
      <w:r w:rsidRPr="002229B8">
        <w:rPr>
          <w:b/>
        </w:rPr>
        <w:t>eIDAS</w:t>
      </w:r>
      <w:r w:rsidRPr="002229B8">
        <w:t>: The Electronic IDentification And trust Services (eIDAS) refers to the “Regulation (EU) No 910/2014 of the European Parliament and of the Council of 23 July 2014 on electronic identification and trust services for electronic transactions in the internal market”, which defines the rules for electronic identities and signatures use and recognition in the European Union and sets a range of services that include verifying the identity of individuals and businesses online and verifying the authenticity of electronic documents.</w:t>
      </w:r>
    </w:p>
    <w:p w14:paraId="45AF9EDF" w14:textId="77777777" w:rsidR="00C672F4" w:rsidRPr="002229B8" w:rsidRDefault="00C672F4" w:rsidP="00B17E1F">
      <w:pPr>
        <w:pStyle w:val="ListParagraph"/>
        <w:numPr>
          <w:ilvl w:val="0"/>
          <w:numId w:val="5"/>
        </w:numPr>
        <w:spacing w:before="240" w:beforeAutospacing="0" w:after="240" w:afterAutospacing="0"/>
      </w:pPr>
      <w:r w:rsidRPr="002229B8">
        <w:rPr>
          <w:b/>
        </w:rPr>
        <w:t xml:space="preserve">EMAS: </w:t>
      </w:r>
      <w:r w:rsidRPr="002229B8">
        <w:t xml:space="preserve">The Environmental Management and Audit Scheme (EMAS) is a voluntary program established by the EU) to promote sustainable practices and improve environmental performance within organisations. EMAS provides a framework for </w:t>
      </w:r>
      <w:r w:rsidRPr="002229B8">
        <w:lastRenderedPageBreak/>
        <w:t xml:space="preserve">companies, public authorities, and other entities to implement effective environmental management systems (EMS) and undergo periodic environmental audits. </w:t>
      </w:r>
    </w:p>
    <w:p w14:paraId="7D6EA4DA" w14:textId="77777777" w:rsidR="00C672F4" w:rsidRPr="002229B8" w:rsidRDefault="00C672F4" w:rsidP="00B17E1F">
      <w:pPr>
        <w:pStyle w:val="ListParagraph"/>
        <w:numPr>
          <w:ilvl w:val="0"/>
          <w:numId w:val="5"/>
        </w:numPr>
        <w:spacing w:before="240" w:beforeAutospacing="0" w:after="240" w:afterAutospacing="0"/>
        <w:rPr>
          <w:bCs/>
        </w:rPr>
      </w:pPr>
      <w:r w:rsidRPr="002229B8">
        <w:rPr>
          <w:b/>
        </w:rPr>
        <w:t xml:space="preserve">Enhancement maintenance (software/application): </w:t>
      </w:r>
      <w:r w:rsidRPr="002229B8">
        <w:rPr>
          <w:bCs/>
        </w:rPr>
        <w:t>involves updating and improving existing software or applications by adding new features, enhancing performance, or making other modifications that go beyond simple bug fixes. This type of maintenance aims to increase the functionality and usability of the software to better meet user needs and requirements.</w:t>
      </w:r>
    </w:p>
    <w:p w14:paraId="18B74937" w14:textId="77777777" w:rsidR="00C672F4" w:rsidRPr="002229B8" w:rsidRDefault="00C672F4" w:rsidP="00B17E1F">
      <w:pPr>
        <w:pStyle w:val="ListParagraph"/>
        <w:numPr>
          <w:ilvl w:val="0"/>
          <w:numId w:val="5"/>
        </w:numPr>
        <w:spacing w:before="240" w:beforeAutospacing="0" w:after="240" w:afterAutospacing="0"/>
      </w:pPr>
      <w:r w:rsidRPr="002229B8">
        <w:rPr>
          <w:b/>
        </w:rPr>
        <w:t>ESPD</w:t>
      </w:r>
      <w:r w:rsidRPr="002229B8">
        <w:t xml:space="preserve">: The European Single Procurement Document (ESPD) is an electronic self-declaration document that shall be submitted by suppliers interested in tendering for contracts for the supply of goods, works or services to public bodies located anywhere within the European Union. It has been established and is regulated by Directive 2014/24/EU of the European Parliament and of the Council of 26 February 2014 on public procurement and repealing Directive 2004/18/EC. </w:t>
      </w:r>
    </w:p>
    <w:p w14:paraId="4A808CEF" w14:textId="77777777" w:rsidR="00C672F4" w:rsidRPr="002229B8" w:rsidRDefault="00C672F4" w:rsidP="00B17E1F">
      <w:pPr>
        <w:pStyle w:val="ListParagraph"/>
        <w:numPr>
          <w:ilvl w:val="0"/>
          <w:numId w:val="5"/>
        </w:numPr>
        <w:spacing w:before="240" w:beforeAutospacing="0" w:after="240" w:afterAutospacing="0"/>
      </w:pPr>
      <w:r w:rsidRPr="002229B8">
        <w:rPr>
          <w:b/>
          <w:bCs/>
        </w:rPr>
        <w:t>EU</w:t>
      </w:r>
      <w:r w:rsidRPr="002229B8">
        <w:t>: European Union (EU).</w:t>
      </w:r>
    </w:p>
    <w:p w14:paraId="40AB9161" w14:textId="77777777" w:rsidR="00C672F4" w:rsidRPr="002229B8" w:rsidRDefault="00C672F4" w:rsidP="00B17E1F">
      <w:pPr>
        <w:pStyle w:val="ListParagraph"/>
        <w:numPr>
          <w:ilvl w:val="0"/>
          <w:numId w:val="5"/>
        </w:numPr>
        <w:spacing w:before="240" w:beforeAutospacing="0" w:after="240" w:afterAutospacing="0"/>
      </w:pPr>
      <w:r w:rsidRPr="002229B8">
        <w:rPr>
          <w:b/>
          <w:bCs/>
        </w:rPr>
        <w:t xml:space="preserve">Force majeure: </w:t>
      </w:r>
      <w:r w:rsidRPr="002229B8">
        <w:t xml:space="preserve">any unforeseeable or extraordinary circumstance or event that hinders either party from fulfilling part or all of their contractual obligations. The said circumstance or event must be beyond the control of the parties involved and not, in spite of due diligence application, the result of negligence or error on their part or that of the subcontractors. Unless proven to be the result of an actual case of it, the following do not constitute </w:t>
      </w:r>
      <w:r w:rsidRPr="002229B8">
        <w:rPr>
          <w:i/>
          <w:iCs/>
        </w:rPr>
        <w:t>force majeure</w:t>
      </w:r>
      <w:r w:rsidRPr="002229B8">
        <w:t>: delays in or lack of service, material or equipment defects or delays in the provision thereof, financial problems or labour strikes.</w:t>
      </w:r>
    </w:p>
    <w:p w14:paraId="10F506F0" w14:textId="77777777" w:rsidR="00C672F4" w:rsidRPr="002229B8" w:rsidRDefault="00C672F4" w:rsidP="00B17E1F">
      <w:pPr>
        <w:pStyle w:val="ListParagraph"/>
        <w:numPr>
          <w:ilvl w:val="0"/>
          <w:numId w:val="5"/>
        </w:numPr>
        <w:spacing w:before="240" w:beforeAutospacing="0" w:after="240" w:afterAutospacing="0"/>
      </w:pPr>
      <w:r w:rsidRPr="002229B8">
        <w:rPr>
          <w:b/>
          <w:bCs/>
        </w:rPr>
        <w:t>GDPR</w:t>
      </w:r>
      <w:r w:rsidRPr="002229B8">
        <w:t xml:space="preserve">: </w:t>
      </w:r>
      <w:r w:rsidRPr="002229B8">
        <w:rPr>
          <w:b/>
          <w:bCs/>
        </w:rPr>
        <w:t>Regulation (EU) 2016/679</w:t>
      </w:r>
      <w:r w:rsidRPr="002229B8">
        <w:rPr>
          <w:color w:val="000000" w:themeColor="text1"/>
        </w:rPr>
        <w:t xml:space="preserve"> </w:t>
      </w:r>
      <w:r w:rsidRPr="002229B8">
        <w:t xml:space="preserve">on the protection of natural persons with regard to the processing of personal data and the free movement of such data (GDPR - </w:t>
      </w:r>
      <w:hyperlink r:id="rId11">
        <w:r w:rsidRPr="002229B8">
          <w:rPr>
            <w:rStyle w:val="Hyperlink"/>
          </w:rPr>
          <w:t>General Data Protection Regulation</w:t>
        </w:r>
      </w:hyperlink>
      <w:r w:rsidRPr="002229B8">
        <w:t>) is a European legal framework that sets guidelines for the collection and processing of personal information of individuals within the EU.</w:t>
      </w:r>
    </w:p>
    <w:p w14:paraId="2317F0B8" w14:textId="77777777" w:rsidR="00C672F4" w:rsidRPr="002229B8" w:rsidRDefault="00C672F4" w:rsidP="00B17E1F">
      <w:pPr>
        <w:pStyle w:val="ListParagraph"/>
        <w:numPr>
          <w:ilvl w:val="0"/>
          <w:numId w:val="5"/>
        </w:numPr>
        <w:spacing w:before="240" w:beforeAutospacing="0" w:after="240" w:afterAutospacing="0"/>
      </w:pPr>
      <w:r w:rsidRPr="002229B8">
        <w:rPr>
          <w:b/>
          <w:bCs/>
        </w:rPr>
        <w:t>IoT</w:t>
      </w:r>
      <w:r w:rsidRPr="002229B8">
        <w:t>: Internet of Things (IoT). This term refers to the network of interconnected devices embedded with sensors, software, and other technologies, enabling them to collect and exchange data over the Internet.</w:t>
      </w:r>
    </w:p>
    <w:p w14:paraId="687A79EA" w14:textId="77777777" w:rsidR="00C672F4" w:rsidRPr="002229B8" w:rsidRDefault="00C672F4" w:rsidP="00B17E1F">
      <w:pPr>
        <w:pStyle w:val="ListParagraph"/>
        <w:numPr>
          <w:ilvl w:val="0"/>
          <w:numId w:val="5"/>
        </w:numPr>
        <w:spacing w:before="240" w:beforeAutospacing="0" w:after="240" w:afterAutospacing="0"/>
      </w:pPr>
      <w:r w:rsidRPr="002229B8">
        <w:rPr>
          <w:b/>
          <w:bCs/>
        </w:rPr>
        <w:t>IPR (Intellectual Property Rights)</w:t>
      </w:r>
      <w:r w:rsidRPr="002229B8">
        <w:t>: legal protections granted to creators and owners of intellectual property, such as inventions, designs, trademarks, and technical material. These rights enable individuals and organisations to control the use of their creations, preventing unauthorised use and ensuring they can benefit financially from their work.</w:t>
      </w:r>
    </w:p>
    <w:p w14:paraId="3DA3F341" w14:textId="77777777" w:rsidR="00C672F4" w:rsidRPr="002229B8" w:rsidRDefault="00C672F4" w:rsidP="00B17E1F">
      <w:pPr>
        <w:pStyle w:val="ListParagraph"/>
        <w:numPr>
          <w:ilvl w:val="0"/>
          <w:numId w:val="5"/>
        </w:numPr>
        <w:spacing w:before="240" w:beforeAutospacing="0" w:after="240" w:afterAutospacing="0"/>
      </w:pPr>
      <w:r w:rsidRPr="002229B8">
        <w:rPr>
          <w:b/>
        </w:rPr>
        <w:t>LDT</w:t>
      </w:r>
      <w:r w:rsidRPr="002229B8">
        <w:t xml:space="preserve">: this abbreviation stands for “Local Digital Twin”. Local Digital Twins are a virtual representation of physical assets and processes within a geographically located community, which reflect and derive from cross-sectorial, historical and (near) real-time data. Their purpose is to enhance evidence-based decision-making at the operational, strategic and tactical levels to better meet the needs of communities. LDTs combine multiple </w:t>
      </w:r>
      <w:r w:rsidRPr="002229B8">
        <w:lastRenderedPageBreak/>
        <w:t>technologies, such as data analytics and AI, enabling predictive and simulation models that can be updated and changed as their physical equivalents change.</w:t>
      </w:r>
    </w:p>
    <w:p w14:paraId="55B7D802" w14:textId="77777777" w:rsidR="00C672F4" w:rsidRPr="002229B8" w:rsidRDefault="00C672F4" w:rsidP="00B17E1F">
      <w:pPr>
        <w:pStyle w:val="ListParagraph"/>
        <w:numPr>
          <w:ilvl w:val="0"/>
          <w:numId w:val="5"/>
        </w:numPr>
        <w:spacing w:before="240" w:beforeAutospacing="0" w:after="240" w:afterAutospacing="0"/>
      </w:pPr>
      <w:r w:rsidRPr="002229B8">
        <w:rPr>
          <w:b/>
        </w:rPr>
        <w:t>Machine learning</w:t>
      </w:r>
      <w:r w:rsidRPr="002229B8">
        <w:t>: A branch of AI that enables computers to learn from data and improve their performance on a task without being explicitly programmed.</w:t>
      </w:r>
    </w:p>
    <w:p w14:paraId="610E4392" w14:textId="74DA01FB" w:rsidR="00FC7410" w:rsidRPr="002229B8" w:rsidRDefault="00FC7410" w:rsidP="00B17E1F">
      <w:pPr>
        <w:pStyle w:val="ListParagraph"/>
        <w:numPr>
          <w:ilvl w:val="0"/>
          <w:numId w:val="5"/>
        </w:numPr>
        <w:spacing w:before="240" w:beforeAutospacing="0" w:after="240" w:afterAutospacing="0"/>
      </w:pPr>
      <w:r w:rsidRPr="002229B8">
        <w:rPr>
          <w:b/>
        </w:rPr>
        <w:t>Middleware software</w:t>
      </w:r>
      <w:r w:rsidRPr="002229B8">
        <w:t>:</w:t>
      </w:r>
      <w:r w:rsidR="00DB241E" w:rsidRPr="002229B8">
        <w:t xml:space="preserve"> Middleware software acts as a bridge between different applications, systems, or components, enabling seamless communication and data exchange. It provides services such as integration, messaging, and application programming interfaces (APIs), ensuring interoperability and efficient functionality in complex IT environments.</w:t>
      </w:r>
    </w:p>
    <w:p w14:paraId="08E6A4F0" w14:textId="335E472F" w:rsidR="00C672F4" w:rsidRPr="002229B8" w:rsidRDefault="00C672F4" w:rsidP="00B17E1F">
      <w:pPr>
        <w:pStyle w:val="ListParagraph"/>
        <w:numPr>
          <w:ilvl w:val="0"/>
          <w:numId w:val="5"/>
        </w:numPr>
        <w:spacing w:before="240" w:beforeAutospacing="0" w:after="240" w:afterAutospacing="0"/>
      </w:pPr>
      <w:r w:rsidRPr="002229B8">
        <w:rPr>
          <w:b/>
        </w:rPr>
        <w:t>MIMs</w:t>
      </w:r>
      <w:r w:rsidRPr="002229B8">
        <w:t xml:space="preserve">: The Minimum Interoperability Mechanisms (MIMs) are </w:t>
      </w:r>
      <w:r w:rsidRPr="002229B8">
        <w:rPr>
          <w:rStyle w:val="ui-provider"/>
        </w:rPr>
        <w:t xml:space="preserve">standardised protocols or tools that enable a minimal yet sufficient level of interoperability for data, systems, and services within the context of smart city solutions. They have been developed by the Open &amp; Agile Smart Cities &amp; Communities (OASC) in collaboration with European Commission projects and with the International Telecommunication Union (ITU) to ensure a baseline of compatibility and </w:t>
      </w:r>
      <w:r w:rsidR="00EE4E5B" w:rsidRPr="002229B8">
        <w:rPr>
          <w:rStyle w:val="ui-provider"/>
        </w:rPr>
        <w:t>communication</w:t>
      </w:r>
      <w:r w:rsidR="00792E1C">
        <w:rPr>
          <w:rStyle w:val="ui-provider"/>
        </w:rPr>
        <w:t>,</w:t>
      </w:r>
      <w:r w:rsidR="00EE4E5B" w:rsidRPr="002229B8">
        <w:rPr>
          <w:rStyle w:val="ui-provider"/>
        </w:rPr>
        <w:t xml:space="preserve"> and</w:t>
      </w:r>
      <w:r w:rsidRPr="002229B8">
        <w:rPr>
          <w:rStyle w:val="ui-provider"/>
        </w:rPr>
        <w:t xml:space="preserve"> facilitate seamless integration and interaction between diverse technologies and platforms, thus promoting efficient and effective smart city operations.</w:t>
      </w:r>
    </w:p>
    <w:p w14:paraId="74AC897C" w14:textId="6C49A2ED" w:rsidR="00DA1576" w:rsidRPr="002229B8" w:rsidRDefault="00C672F4" w:rsidP="00B17E1F">
      <w:pPr>
        <w:pStyle w:val="ListParagraph"/>
        <w:numPr>
          <w:ilvl w:val="0"/>
          <w:numId w:val="5"/>
        </w:numPr>
        <w:spacing w:before="240" w:beforeAutospacing="0" w:after="240" w:afterAutospacing="0"/>
      </w:pPr>
      <w:r w:rsidRPr="002229B8">
        <w:rPr>
          <w:b/>
        </w:rPr>
        <w:t>NCCD</w:t>
      </w:r>
      <w:r w:rsidRPr="002229B8">
        <w:t>: Non-Compliance with Contractual Deadlines (NCCD); possible penalties that might regard the contractor if envisaged contractual deadlines as per SLAs are not respected.</w:t>
      </w:r>
    </w:p>
    <w:p w14:paraId="5688426D" w14:textId="77777777" w:rsidR="00C672F4" w:rsidRPr="002229B8" w:rsidRDefault="00C672F4" w:rsidP="00B17E1F">
      <w:pPr>
        <w:pStyle w:val="ListParagraph"/>
        <w:numPr>
          <w:ilvl w:val="0"/>
          <w:numId w:val="5"/>
        </w:numPr>
        <w:spacing w:before="240" w:beforeAutospacing="0" w:after="240" w:afterAutospacing="0"/>
      </w:pPr>
      <w:r w:rsidRPr="002229B8">
        <w:rPr>
          <w:b/>
        </w:rPr>
        <w:t>SLA</w:t>
      </w:r>
      <w:r w:rsidRPr="002229B8">
        <w:t>: Service Level Agreement (</w:t>
      </w:r>
      <w:bookmarkStart w:id="8" w:name="_Hlk173161619"/>
      <w:r w:rsidRPr="002229B8">
        <w:t>SLA</w:t>
      </w:r>
      <w:bookmarkEnd w:id="8"/>
      <w:r w:rsidRPr="002229B8">
        <w:t xml:space="preserve">). A group of conditions that form part of the contract terms in place between a service provider and the </w:t>
      </w:r>
      <w:bookmarkStart w:id="9" w:name="_Hlk173161625"/>
      <w:r w:rsidRPr="002229B8">
        <w:t>CA</w:t>
      </w:r>
      <w:bookmarkEnd w:id="9"/>
      <w:r w:rsidRPr="002229B8">
        <w:t xml:space="preserve"> that sets the expected minimum level of service, including performance standards, responsibilities, and related penalties for non-compliance. SLAs are designed to ensure clarity and accountability, providing measurable metrics for the evaluation of service quality and delivery.</w:t>
      </w:r>
    </w:p>
    <w:p w14:paraId="44693DAB" w14:textId="766A7583" w:rsidR="00C672F4" w:rsidRPr="002229B8" w:rsidRDefault="00C672F4" w:rsidP="00B17E1F">
      <w:pPr>
        <w:pStyle w:val="ListParagraph"/>
        <w:numPr>
          <w:ilvl w:val="0"/>
          <w:numId w:val="5"/>
        </w:numPr>
        <w:spacing w:before="240" w:beforeAutospacing="0" w:after="240" w:afterAutospacing="0"/>
      </w:pPr>
      <w:r w:rsidRPr="002229B8">
        <w:rPr>
          <w:b/>
        </w:rPr>
        <w:t>SME</w:t>
      </w:r>
      <w:r w:rsidRPr="002229B8">
        <w:t>: Small and M</w:t>
      </w:r>
      <w:r w:rsidR="005F2C3B">
        <w:t>edium-</w:t>
      </w:r>
      <w:r w:rsidRPr="002229B8">
        <w:t>size</w:t>
      </w:r>
      <w:r w:rsidR="005F2C3B">
        <w:t>d</w:t>
      </w:r>
      <w:r w:rsidRPr="002229B8">
        <w:t xml:space="preserve"> Enterprises; businesses that maintain revenues, assets, or several employees below a certain threshold. Each country has its own definition of what constitutes a small and m</w:t>
      </w:r>
      <w:r w:rsidR="005F2C3B">
        <w:t>edium-</w:t>
      </w:r>
      <w:r w:rsidRPr="002229B8">
        <w:t>size</w:t>
      </w:r>
      <w:r w:rsidR="005F2C3B">
        <w:t>d</w:t>
      </w:r>
      <w:r w:rsidRPr="002229B8">
        <w:t xml:space="preserve"> enterprise.</w:t>
      </w:r>
    </w:p>
    <w:p w14:paraId="146F9C72" w14:textId="77777777" w:rsidR="00C672F4" w:rsidRPr="002229B8" w:rsidRDefault="00C672F4" w:rsidP="00B17E1F">
      <w:pPr>
        <w:pStyle w:val="ListParagraph"/>
        <w:numPr>
          <w:ilvl w:val="0"/>
          <w:numId w:val="5"/>
        </w:numPr>
        <w:spacing w:before="240" w:beforeAutospacing="0" w:after="240" w:afterAutospacing="0"/>
      </w:pPr>
      <w:r w:rsidRPr="002229B8">
        <w:rPr>
          <w:b/>
          <w:bCs/>
        </w:rPr>
        <w:t>Tenderer:</w:t>
      </w:r>
      <w:r w:rsidRPr="002229B8">
        <w:t xml:space="preserve"> a legal entity that submits a bid or proposal in response to a tender invitation from a CA.</w:t>
      </w:r>
    </w:p>
    <w:p w14:paraId="18D1744B" w14:textId="77777777" w:rsidR="00C672F4" w:rsidRPr="002229B8" w:rsidRDefault="00C672F4" w:rsidP="00B17E1F">
      <w:pPr>
        <w:pStyle w:val="ListParagraph"/>
        <w:numPr>
          <w:ilvl w:val="0"/>
          <w:numId w:val="5"/>
        </w:numPr>
        <w:spacing w:before="240" w:beforeAutospacing="0" w:after="240" w:afterAutospacing="0"/>
      </w:pPr>
      <w:r w:rsidRPr="002229B8">
        <w:rPr>
          <w:b/>
          <w:bCs/>
        </w:rPr>
        <w:t>VAT</w:t>
      </w:r>
      <w:r w:rsidRPr="002229B8">
        <w:t>: The Value Added Tax (VAT) is a consumption tax levied on goods and services at each stage of production or distribution, based on the increase in value of the product at each stage.</w:t>
      </w:r>
    </w:p>
    <w:p w14:paraId="0F37DEB0" w14:textId="77777777" w:rsidR="007023D1" w:rsidRPr="002229B8" w:rsidRDefault="007023D1" w:rsidP="00B17E1F">
      <w:pPr>
        <w:pStyle w:val="Heading1"/>
        <w:numPr>
          <w:ilvl w:val="0"/>
          <w:numId w:val="2"/>
        </w:numPr>
        <w:ind w:left="567" w:hanging="567"/>
        <w:rPr>
          <w:rStyle w:val="Heading1Char"/>
          <w:b/>
          <w:bCs/>
        </w:rPr>
      </w:pPr>
      <w:bookmarkStart w:id="10" w:name="_Toc191487071"/>
      <w:r w:rsidRPr="002229B8">
        <w:rPr>
          <w:rStyle w:val="Heading1Char"/>
          <w:b/>
          <w:bCs/>
        </w:rPr>
        <w:t>Object of the Tender</w:t>
      </w:r>
      <w:bookmarkEnd w:id="10"/>
    </w:p>
    <w:p w14:paraId="3E794676" w14:textId="4AC92165" w:rsidR="00620E40" w:rsidRPr="002229B8" w:rsidRDefault="007023D1" w:rsidP="007023D1">
      <w:pPr>
        <w:spacing w:after="240" w:afterAutospacing="0"/>
        <w:rPr>
          <w:color w:val="C45911" w:themeColor="accent2" w:themeShade="BF"/>
        </w:rPr>
      </w:pPr>
      <w:r w:rsidRPr="002229B8">
        <w:t xml:space="preserve">The object of the following Technical Specifications is the </w:t>
      </w:r>
      <w:r w:rsidR="00B801AF" w:rsidRPr="002229B8">
        <w:t>middleware software application development and/or maintenance services</w:t>
      </w:r>
      <w:r w:rsidR="00B40B0E" w:rsidRPr="002229B8">
        <w:rPr>
          <w:i/>
          <w:iCs/>
          <w:color w:val="C45911" w:themeColor="accent2" w:themeShade="BF"/>
        </w:rPr>
        <w:t>.</w:t>
      </w:r>
    </w:p>
    <w:p w14:paraId="1B8A4AA9" w14:textId="2112EF7E" w:rsidR="007023D1" w:rsidRPr="002229B8" w:rsidRDefault="007023D1" w:rsidP="007023D1">
      <w:pPr>
        <w:spacing w:after="240" w:afterAutospacing="0"/>
      </w:pPr>
      <w:r w:rsidRPr="002229B8">
        <w:lastRenderedPageBreak/>
        <w:t xml:space="preserve">Such </w:t>
      </w:r>
      <w:r w:rsidR="00C14FB2" w:rsidRPr="002229B8">
        <w:t>app</w:t>
      </w:r>
      <w:r w:rsidR="00BD4BA6" w:rsidRPr="002229B8">
        <w:t>lication</w:t>
      </w:r>
      <w:r w:rsidRPr="002229B8">
        <w:t xml:space="preserve"> </w:t>
      </w:r>
      <w:r w:rsidR="005D64B8" w:rsidRPr="002229B8">
        <w:t>services</w:t>
      </w:r>
      <w:r w:rsidRPr="002229B8">
        <w:t xml:space="preserve"> will mainly serve to improve the quality and accessibility of the </w:t>
      </w:r>
      <w:r w:rsidR="002E4AB0" w:rsidRPr="002229B8">
        <w:rPr>
          <w:color w:val="000000" w:themeColor="text1"/>
        </w:rPr>
        <w:t>software services</w:t>
      </w:r>
      <w:r w:rsidR="000F51D2" w:rsidRPr="002229B8">
        <w:rPr>
          <w:color w:val="000000" w:themeColor="text1"/>
        </w:rPr>
        <w:t xml:space="preserve"> </w:t>
      </w:r>
      <w:r w:rsidRPr="002229B8">
        <w:t xml:space="preserve">and, in parallel, increase the </w:t>
      </w:r>
      <w:r w:rsidR="009E1EF1" w:rsidRPr="002229B8">
        <w:t xml:space="preserve">middleware </w:t>
      </w:r>
      <w:r w:rsidR="003A53AC" w:rsidRPr="002229B8">
        <w:t>software performance</w:t>
      </w:r>
      <w:r w:rsidRPr="002229B8">
        <w:t xml:space="preserve"> in place in the city of </w:t>
      </w:r>
      <w:r w:rsidRPr="002229B8">
        <w:rPr>
          <w:color w:val="C45911" w:themeColor="accent2" w:themeShade="BF"/>
        </w:rPr>
        <w:t>[</w:t>
      </w:r>
      <w:r w:rsidRPr="002229B8">
        <w:rPr>
          <w:i/>
          <w:color w:val="C45911" w:themeColor="accent2" w:themeShade="BF"/>
        </w:rPr>
        <w:t>complete with applicable information</w:t>
      </w:r>
      <w:r w:rsidRPr="002229B8">
        <w:rPr>
          <w:color w:val="C45911" w:themeColor="accent2" w:themeShade="BF"/>
        </w:rPr>
        <w:t>]</w:t>
      </w:r>
      <w:r w:rsidRPr="002229B8">
        <w:t>.</w:t>
      </w:r>
    </w:p>
    <w:p w14:paraId="48E1DD14" w14:textId="77777777" w:rsidR="002B5E00" w:rsidRPr="002229B8" w:rsidRDefault="002B5E00" w:rsidP="002B5E00">
      <w:pPr>
        <w:spacing w:after="240" w:afterAutospacing="0"/>
        <w:rPr>
          <w:bCs/>
          <w:iCs/>
        </w:rPr>
      </w:pPr>
      <w:r w:rsidRPr="002229B8">
        <w:rPr>
          <w:bCs/>
          <w:iCs/>
        </w:rPr>
        <w:t>The typologies of services that are the object of the call for tenders are the following:</w:t>
      </w:r>
    </w:p>
    <w:p w14:paraId="1BEB2840" w14:textId="77777777" w:rsidR="002B5E00" w:rsidRPr="002229B8" w:rsidRDefault="002B5E00" w:rsidP="00B17E1F">
      <w:pPr>
        <w:numPr>
          <w:ilvl w:val="0"/>
          <w:numId w:val="15"/>
        </w:numPr>
        <w:spacing w:after="240" w:afterAutospacing="0"/>
        <w:rPr>
          <w:bCs/>
          <w:iCs/>
        </w:rPr>
      </w:pPr>
      <w:r w:rsidRPr="002229B8">
        <w:rPr>
          <w:bCs/>
          <w:iCs/>
        </w:rPr>
        <w:t>corrective maintenance and technical support services;</w:t>
      </w:r>
    </w:p>
    <w:p w14:paraId="2773ECE1" w14:textId="77777777" w:rsidR="002B5E00" w:rsidRPr="002229B8" w:rsidRDefault="002B5E00" w:rsidP="00B17E1F">
      <w:pPr>
        <w:numPr>
          <w:ilvl w:val="0"/>
          <w:numId w:val="15"/>
        </w:numPr>
        <w:spacing w:after="240" w:afterAutospacing="0"/>
        <w:rPr>
          <w:bCs/>
          <w:iCs/>
        </w:rPr>
      </w:pPr>
      <w:r w:rsidRPr="002229B8">
        <w:rPr>
          <w:bCs/>
          <w:iCs/>
        </w:rPr>
        <w:t>regulatory compliance maintenance services;</w:t>
      </w:r>
    </w:p>
    <w:p w14:paraId="25532E1C" w14:textId="77777777" w:rsidR="002B5E00" w:rsidRPr="002229B8" w:rsidRDefault="002B5E00" w:rsidP="00B17E1F">
      <w:pPr>
        <w:numPr>
          <w:ilvl w:val="0"/>
          <w:numId w:val="15"/>
        </w:numPr>
        <w:spacing w:after="240" w:afterAutospacing="0"/>
        <w:rPr>
          <w:bCs/>
          <w:iCs/>
        </w:rPr>
      </w:pPr>
      <w:r w:rsidRPr="002229B8">
        <w:rPr>
          <w:bCs/>
          <w:iCs/>
        </w:rPr>
        <w:t>enhancement maintenance services.</w:t>
      </w:r>
    </w:p>
    <w:p w14:paraId="235F0173" w14:textId="6B90734E" w:rsidR="007023D1" w:rsidRPr="002229B8" w:rsidRDefault="007023D1" w:rsidP="007023D1">
      <w:pPr>
        <w:spacing w:after="240" w:afterAutospacing="0"/>
        <w:rPr>
          <w:bCs/>
          <w:iCs/>
          <w:noProof/>
        </w:rPr>
      </w:pPr>
      <w:r w:rsidRPr="002229B8">
        <w:rPr>
          <w:bCs/>
          <w:iCs/>
          <w:noProof/>
        </w:rPr>
        <w:t xml:space="preserve">The </w:t>
      </w:r>
      <w:r w:rsidR="00396BB3" w:rsidRPr="002229B8">
        <w:rPr>
          <w:bCs/>
          <w:iCs/>
          <w:noProof/>
        </w:rPr>
        <w:t>servi</w:t>
      </w:r>
      <w:r w:rsidR="00450CA3" w:rsidRPr="002229B8">
        <w:rPr>
          <w:bCs/>
          <w:iCs/>
          <w:noProof/>
        </w:rPr>
        <w:t>c</w:t>
      </w:r>
      <w:r w:rsidR="00396BB3" w:rsidRPr="002229B8">
        <w:rPr>
          <w:bCs/>
          <w:iCs/>
          <w:noProof/>
        </w:rPr>
        <w:t>es</w:t>
      </w:r>
      <w:r w:rsidRPr="002229B8">
        <w:rPr>
          <w:bCs/>
          <w:iCs/>
          <w:noProof/>
        </w:rPr>
        <w:t xml:space="preserve"> that are the subject of this call for tenders, including any minimum requirements, are </w:t>
      </w:r>
      <w:bookmarkStart w:id="11" w:name="_Hlk173161642"/>
      <w:r w:rsidR="00482C80" w:rsidRPr="002229B8">
        <w:rPr>
          <w:bCs/>
          <w:iCs/>
          <w:noProof/>
        </w:rPr>
        <w:t>thoroughly</w:t>
      </w:r>
      <w:bookmarkEnd w:id="11"/>
      <w:r w:rsidR="00482C80" w:rsidRPr="002229B8">
        <w:rPr>
          <w:bCs/>
          <w:iCs/>
          <w:noProof/>
        </w:rPr>
        <w:t xml:space="preserve"> </w:t>
      </w:r>
      <w:r w:rsidRPr="002229B8">
        <w:rPr>
          <w:bCs/>
          <w:iCs/>
          <w:noProof/>
        </w:rPr>
        <w:t>described in detail in the Technical Specifications</w:t>
      </w:r>
      <w:r w:rsidR="00494E3B" w:rsidRPr="002229B8">
        <w:rPr>
          <w:bCs/>
          <w:iCs/>
          <w:noProof/>
        </w:rPr>
        <w:t xml:space="preserve"> and relevant Annexes</w:t>
      </w:r>
      <w:r w:rsidRPr="002229B8">
        <w:rPr>
          <w:bCs/>
          <w:iCs/>
          <w:noProof/>
        </w:rPr>
        <w:t>.</w:t>
      </w:r>
    </w:p>
    <w:p w14:paraId="6F329F89" w14:textId="77777777" w:rsidR="00886105" w:rsidRPr="002229B8" w:rsidRDefault="00886105" w:rsidP="00886105">
      <w:pPr>
        <w:spacing w:after="240" w:afterAutospacing="0"/>
        <w:rPr>
          <w:bCs/>
          <w:iCs/>
          <w:noProof/>
        </w:rPr>
      </w:pPr>
      <w:r w:rsidRPr="002229B8">
        <w:rPr>
          <w:bCs/>
          <w:iCs/>
          <w:noProof/>
        </w:rPr>
        <w:t xml:space="preserve">As also stated in the Tender Specifications, any variants (alternatives to the solution(s) described in the present Technical Specifications) are not allowed. The CA will disregard any variants </w:t>
      </w:r>
      <w:bookmarkStart w:id="12" w:name="_Hlk172904612"/>
      <w:bookmarkStart w:id="13" w:name="_Hlk173161660"/>
      <w:r w:rsidRPr="002229B8">
        <w:rPr>
          <w:bCs/>
          <w:iCs/>
          <w:noProof/>
        </w:rPr>
        <w:t>from the technical requirements</w:t>
      </w:r>
      <w:bookmarkEnd w:id="12"/>
      <w:bookmarkEnd w:id="13"/>
      <w:r w:rsidRPr="002229B8">
        <w:rPr>
          <w:bCs/>
          <w:iCs/>
          <w:noProof/>
        </w:rPr>
        <w:t xml:space="preserve"> described in the Tender documentation.</w:t>
      </w:r>
    </w:p>
    <w:p w14:paraId="10DEB31B" w14:textId="77777777" w:rsidR="007023D1" w:rsidRPr="002229B8" w:rsidRDefault="007023D1" w:rsidP="00B17E1F">
      <w:pPr>
        <w:pStyle w:val="Heading1"/>
        <w:numPr>
          <w:ilvl w:val="0"/>
          <w:numId w:val="2"/>
        </w:numPr>
        <w:ind w:left="567" w:hanging="567"/>
        <w:rPr>
          <w:rStyle w:val="Heading1Char"/>
          <w:b/>
          <w:bCs/>
        </w:rPr>
      </w:pPr>
      <w:bookmarkStart w:id="14" w:name="_Toc191487072"/>
      <w:r w:rsidRPr="002229B8">
        <w:rPr>
          <w:rStyle w:val="Heading1Char"/>
          <w:b/>
          <w:bCs/>
        </w:rPr>
        <w:t>Deliverables</w:t>
      </w:r>
      <w:bookmarkEnd w:id="14"/>
    </w:p>
    <w:p w14:paraId="3DB5A85D" w14:textId="77777777" w:rsidR="004F2428" w:rsidRPr="002229B8" w:rsidRDefault="004F2428" w:rsidP="004F2428">
      <w:pPr>
        <w:spacing w:before="240" w:beforeAutospacing="0" w:after="240" w:afterAutospacing="0"/>
        <w:rPr>
          <w:rStyle w:val="Strong"/>
          <w:color w:val="CD5937"/>
        </w:rPr>
      </w:pPr>
      <w:r w:rsidRPr="002229B8">
        <w:rPr>
          <w:rStyle w:val="Strong"/>
          <w:color w:val="CD5937"/>
          <w:sz w:val="32"/>
          <w:szCs w:val="32"/>
        </w:rPr>
        <w:t>[</w:t>
      </w:r>
      <w:r w:rsidRPr="002229B8">
        <w:rPr>
          <w:rStyle w:val="ui-provider"/>
          <w:i/>
          <w:iCs/>
          <w:color w:val="CD5937"/>
        </w:rPr>
        <w:t>Insert the following Article only if applicable:</w:t>
      </w:r>
    </w:p>
    <w:p w14:paraId="6329F910" w14:textId="77777777" w:rsidR="00366DD8" w:rsidRPr="002229B8" w:rsidRDefault="00366DD8" w:rsidP="00366DD8">
      <w:pPr>
        <w:spacing w:before="240" w:beforeAutospacing="0" w:after="240" w:afterAutospacing="0"/>
        <w:rPr>
          <w:bCs/>
          <w:iCs/>
          <w:noProof/>
        </w:rPr>
      </w:pPr>
      <w:r w:rsidRPr="002229B8">
        <w:t xml:space="preserve">Deliverables are applicable to the service contract as follows: </w:t>
      </w:r>
      <w:r w:rsidRPr="002229B8">
        <w:rPr>
          <w:color w:val="C45911" w:themeColor="accent2" w:themeShade="BF"/>
        </w:rPr>
        <w:t>[</w:t>
      </w:r>
      <w:r w:rsidRPr="002229B8">
        <w:rPr>
          <w:rStyle w:val="ui-provider"/>
          <w:i/>
          <w:color w:val="CD5937"/>
        </w:rPr>
        <w:t>insert applicable deliverables, for example, any intermediate delivery phases/milestones represented by releases of application software enhancements</w:t>
      </w:r>
      <w:r w:rsidRPr="002229B8">
        <w:rPr>
          <w:color w:val="C45911" w:themeColor="accent2" w:themeShade="BF"/>
        </w:rPr>
        <w:t>]</w:t>
      </w:r>
      <w:r w:rsidRPr="002229B8">
        <w:rPr>
          <w:bCs/>
          <w:iCs/>
          <w:noProof/>
        </w:rPr>
        <w:t>.</w:t>
      </w:r>
    </w:p>
    <w:p w14:paraId="5C44D7DE" w14:textId="77777777" w:rsidR="00366DD8" w:rsidRPr="002229B8" w:rsidRDefault="00366DD8" w:rsidP="00366DD8">
      <w:pPr>
        <w:spacing w:before="240" w:beforeAutospacing="0" w:after="240" w:afterAutospacing="0"/>
      </w:pPr>
      <w:r w:rsidRPr="002229B8">
        <w:t xml:space="preserve">Deliverables are intended as the full compliance and respect of the timetable deadlines listed in Article 5 </w:t>
      </w:r>
      <w:r w:rsidRPr="002229B8">
        <w:rPr>
          <w:color w:val="C45911" w:themeColor="accent2" w:themeShade="BF"/>
        </w:rPr>
        <w:t>[</w:t>
      </w:r>
      <w:r w:rsidRPr="002229B8">
        <w:rPr>
          <w:i/>
          <w:iCs/>
          <w:color w:val="C45911" w:themeColor="accent2" w:themeShade="BF"/>
        </w:rPr>
        <w:t>Update Article 5 - Timetable accordingly</w:t>
      </w:r>
      <w:r w:rsidRPr="002229B8">
        <w:rPr>
          <w:color w:val="C45911" w:themeColor="accent2" w:themeShade="BF"/>
        </w:rPr>
        <w:t>]</w:t>
      </w:r>
      <w:r w:rsidRPr="002229B8">
        <w:t xml:space="preserve">. </w:t>
      </w:r>
    </w:p>
    <w:p w14:paraId="1FBE28B0" w14:textId="7A34B192" w:rsidR="007023D1" w:rsidRPr="002229B8" w:rsidRDefault="00366DD8" w:rsidP="007023D1">
      <w:pPr>
        <w:spacing w:after="240" w:afterAutospacing="0"/>
        <w:rPr>
          <w:bCs/>
          <w:noProof/>
        </w:rPr>
      </w:pPr>
      <w:r w:rsidRPr="002229B8">
        <w:t>In case of non-compliance and breach of contract terms, relevant penalties envisaged in Article 10 will be applied, as per formalities therein prescribed.</w:t>
      </w:r>
      <w:r w:rsidRPr="002229B8">
        <w:rPr>
          <w:rStyle w:val="Strong"/>
          <w:color w:val="CD5937"/>
          <w:sz w:val="32"/>
          <w:szCs w:val="32"/>
        </w:rPr>
        <w:t>]</w:t>
      </w:r>
    </w:p>
    <w:p w14:paraId="5D2BA78D" w14:textId="77777777" w:rsidR="007023D1" w:rsidRPr="002229B8" w:rsidRDefault="007023D1" w:rsidP="00B17E1F">
      <w:pPr>
        <w:pStyle w:val="Heading1"/>
        <w:numPr>
          <w:ilvl w:val="0"/>
          <w:numId w:val="2"/>
        </w:numPr>
        <w:ind w:left="567" w:hanging="567"/>
      </w:pPr>
      <w:bookmarkStart w:id="15" w:name="_Toc191487073"/>
      <w:r w:rsidRPr="002229B8">
        <w:rPr>
          <w:rStyle w:val="Heading1Char"/>
          <w:b/>
        </w:rPr>
        <w:t>Timetable</w:t>
      </w:r>
      <w:bookmarkEnd w:id="15"/>
    </w:p>
    <w:p w14:paraId="6EC7AE3A" w14:textId="77777777" w:rsidR="007023D1" w:rsidRPr="002229B8" w:rsidRDefault="007023D1" w:rsidP="007023D1">
      <w:pPr>
        <w:spacing w:after="240" w:afterAutospacing="0"/>
        <w:rPr>
          <w:bCs/>
          <w:color w:val="C45911" w:themeColor="accent2" w:themeShade="BF"/>
        </w:rPr>
      </w:pPr>
      <w:r w:rsidRPr="002229B8">
        <w:rPr>
          <w:b/>
          <w:color w:val="C45911" w:themeColor="accent2" w:themeShade="BF"/>
          <w:sz w:val="32"/>
          <w:szCs w:val="32"/>
        </w:rPr>
        <w:t>[</w:t>
      </w:r>
      <w:r w:rsidRPr="002229B8">
        <w:rPr>
          <w:rFonts w:eastAsiaTheme="majorEastAsia"/>
          <w:bCs/>
          <w:i/>
          <w:iCs/>
          <w:color w:val="C45911" w:themeColor="accent2" w:themeShade="BF"/>
        </w:rPr>
        <w:t xml:space="preserve">Insert the following </w:t>
      </w:r>
      <w:r w:rsidRPr="002229B8">
        <w:rPr>
          <w:bCs/>
          <w:i/>
          <w:iCs/>
          <w:color w:val="C45911" w:themeColor="accent2" w:themeShade="BF"/>
        </w:rPr>
        <w:t xml:space="preserve">article </w:t>
      </w:r>
      <w:r w:rsidRPr="002229B8">
        <w:rPr>
          <w:rFonts w:eastAsiaTheme="majorEastAsia"/>
          <w:bCs/>
          <w:i/>
          <w:iCs/>
          <w:color w:val="C45911" w:themeColor="accent2" w:themeShade="BF"/>
        </w:rPr>
        <w:t>only if applicable</w:t>
      </w:r>
      <w:r w:rsidRPr="002229B8">
        <w:rPr>
          <w:i/>
          <w:color w:val="C45911" w:themeColor="accent2" w:themeShade="BF"/>
        </w:rPr>
        <w:t>:</w:t>
      </w:r>
    </w:p>
    <w:p w14:paraId="7D73D762" w14:textId="1FA4602A" w:rsidR="007023D1" w:rsidRPr="002229B8" w:rsidRDefault="007023D1" w:rsidP="007023D1">
      <w:pPr>
        <w:spacing w:after="240" w:afterAutospacing="0"/>
      </w:pPr>
      <w:r w:rsidRPr="002229B8">
        <w:t>The maximum timeline to be respected by the contractor is defined in Article 6.2 of the Technical Specifications.</w:t>
      </w:r>
    </w:p>
    <w:p w14:paraId="601AD598" w14:textId="77777777" w:rsidR="007023D1" w:rsidRPr="002229B8" w:rsidRDefault="007023D1" w:rsidP="007023D1">
      <w:pPr>
        <w:spacing w:after="240" w:afterAutospacing="0"/>
      </w:pPr>
      <w:r w:rsidRPr="002229B8">
        <w:t>The contractor must present the timetable of the activities, respecting the deadlines expressed in Article 6.2.</w:t>
      </w:r>
    </w:p>
    <w:p w14:paraId="0080FFF7" w14:textId="26A2C1D1" w:rsidR="007023D1" w:rsidRPr="002229B8" w:rsidRDefault="007023D1" w:rsidP="007023D1">
      <w:pPr>
        <w:spacing w:after="240" w:afterAutospacing="0"/>
      </w:pPr>
      <w:r w:rsidRPr="002229B8">
        <w:t xml:space="preserve">As stated in the following </w:t>
      </w:r>
      <w:r w:rsidR="00063230">
        <w:t>A</w:t>
      </w:r>
      <w:r w:rsidRPr="002229B8">
        <w:t xml:space="preserve">rticle, the timetable must take into account the deadline for the perfect completion of the </w:t>
      </w:r>
      <w:r w:rsidR="00F97521" w:rsidRPr="002229B8">
        <w:t xml:space="preserve">service </w:t>
      </w:r>
      <w:r w:rsidRPr="002229B8">
        <w:t xml:space="preserve">equal to </w:t>
      </w:r>
      <w:r w:rsidRPr="002229B8">
        <w:rPr>
          <w:color w:val="C45911" w:themeColor="accent2" w:themeShade="BF"/>
        </w:rPr>
        <w:t>[</w:t>
      </w:r>
      <w:r w:rsidRPr="002229B8">
        <w:rPr>
          <w:i/>
          <w:iCs/>
          <w:color w:val="C45911" w:themeColor="accent2" w:themeShade="BF"/>
        </w:rPr>
        <w:t>complete with the applicable period of time</w:t>
      </w:r>
      <w:r w:rsidRPr="002229B8">
        <w:rPr>
          <w:color w:val="C45911" w:themeColor="accent2" w:themeShade="BF"/>
        </w:rPr>
        <w:t xml:space="preserve">] </w:t>
      </w:r>
      <w:r w:rsidRPr="002229B8">
        <w:t xml:space="preserve">natural and </w:t>
      </w:r>
      <w:r w:rsidRPr="002229B8">
        <w:lastRenderedPageBreak/>
        <w:t xml:space="preserve">consecutive months </w:t>
      </w:r>
      <w:r w:rsidRPr="002229B8">
        <w:rPr>
          <w:bCs/>
          <w:iCs/>
          <w:noProof/>
        </w:rPr>
        <w:t xml:space="preserve">from the </w:t>
      </w:r>
      <w:r w:rsidR="00010550" w:rsidRPr="002229B8">
        <w:rPr>
          <w:bCs/>
          <w:iCs/>
          <w:noProof/>
        </w:rPr>
        <w:t xml:space="preserve">date of </w:t>
      </w:r>
      <w:r w:rsidR="00010550" w:rsidRPr="002229B8">
        <w:rPr>
          <w:color w:val="C45911" w:themeColor="accent2" w:themeShade="BF"/>
        </w:rPr>
        <w:t>[</w:t>
      </w:r>
      <w:r w:rsidR="00010550" w:rsidRPr="002229B8">
        <w:rPr>
          <w:i/>
          <w:iCs/>
          <w:color w:val="C45911" w:themeColor="accent2" w:themeShade="BF"/>
        </w:rPr>
        <w:t>select one option:</w:t>
      </w:r>
      <w:r w:rsidR="00010550" w:rsidRPr="002229B8">
        <w:rPr>
          <w:color w:val="C45911" w:themeColor="accent2" w:themeShade="BF"/>
        </w:rPr>
        <w:t xml:space="preserve"> </w:t>
      </w:r>
      <w:r w:rsidR="00010550" w:rsidRPr="002229B8">
        <w:rPr>
          <w:color w:val="C45911"/>
        </w:rPr>
        <w:t>contract issuance/ purchase order issuance / the activities commencement report signed between the parties and hand-over of activities</w:t>
      </w:r>
      <w:r w:rsidR="00010550" w:rsidRPr="002229B8">
        <w:rPr>
          <w:color w:val="C45911" w:themeColor="accent2" w:themeShade="BF"/>
        </w:rPr>
        <w:t>]</w:t>
      </w:r>
      <w:r w:rsidRPr="002229B8">
        <w:rPr>
          <w:bCs/>
          <w:iCs/>
          <w:noProof/>
        </w:rPr>
        <w:t>.</w:t>
      </w:r>
    </w:p>
    <w:p w14:paraId="6FE84EBD" w14:textId="46304CE2" w:rsidR="007023D1" w:rsidRPr="002229B8" w:rsidRDefault="007023D1" w:rsidP="007023D1">
      <w:pPr>
        <w:spacing w:after="240" w:afterAutospacing="0"/>
      </w:pPr>
      <w:r w:rsidRPr="002229B8">
        <w:t xml:space="preserve">The timetable may be adjusted according to the contractor’s business organisation, without prejudice to compliance with the maximum deadline for perfect completion of the </w:t>
      </w:r>
      <w:r w:rsidR="000E54D9" w:rsidRPr="002229B8">
        <w:t>service</w:t>
      </w:r>
      <w:r w:rsidRPr="002229B8">
        <w:t>.</w:t>
      </w:r>
      <w:r w:rsidRPr="002229B8">
        <w:rPr>
          <w:rStyle w:val="Strong"/>
          <w:color w:val="CD5937"/>
          <w:sz w:val="32"/>
          <w:szCs w:val="32"/>
        </w:rPr>
        <w:t>]</w:t>
      </w:r>
    </w:p>
    <w:p w14:paraId="3E21A8B7" w14:textId="77777777" w:rsidR="007023D1" w:rsidRPr="002229B8" w:rsidRDefault="007023D1" w:rsidP="00B17E1F">
      <w:pPr>
        <w:pStyle w:val="Heading1"/>
        <w:numPr>
          <w:ilvl w:val="0"/>
          <w:numId w:val="2"/>
        </w:numPr>
        <w:ind w:left="567" w:hanging="567"/>
        <w:rPr>
          <w:rStyle w:val="Heading1Char"/>
          <w:b/>
          <w:bCs/>
        </w:rPr>
      </w:pPr>
      <w:bookmarkStart w:id="16" w:name="_Toc191487074"/>
      <w:r w:rsidRPr="002229B8">
        <w:rPr>
          <w:rStyle w:val="Heading1Char"/>
          <w:b/>
          <w:bCs/>
        </w:rPr>
        <w:t>Contract amount, duration, accounting and invoicing</w:t>
      </w:r>
      <w:bookmarkEnd w:id="16"/>
    </w:p>
    <w:p w14:paraId="2C5243D5" w14:textId="366E8C71" w:rsidR="007023D1" w:rsidRPr="002229B8" w:rsidRDefault="007023D1" w:rsidP="00B17E1F">
      <w:pPr>
        <w:pStyle w:val="Heading2"/>
        <w:keepLines/>
        <w:numPr>
          <w:ilvl w:val="1"/>
          <w:numId w:val="2"/>
        </w:numPr>
        <w:spacing w:before="100" w:beforeAutospacing="1"/>
        <w:ind w:left="936" w:hanging="576"/>
        <w:rPr>
          <w:rFonts w:eastAsiaTheme="majorEastAsia" w:cstheme="majorBidi"/>
        </w:rPr>
      </w:pPr>
      <w:bookmarkStart w:id="17" w:name="_Toc191487075"/>
      <w:r w:rsidRPr="002229B8">
        <w:rPr>
          <w:rFonts w:eastAsiaTheme="majorEastAsia" w:cstheme="majorBidi"/>
        </w:rPr>
        <w:t>Contract amount</w:t>
      </w:r>
      <w:bookmarkEnd w:id="17"/>
    </w:p>
    <w:p w14:paraId="6B010390" w14:textId="58DFE90A" w:rsidR="007023D1" w:rsidRPr="002229B8" w:rsidRDefault="007023D1" w:rsidP="007023D1">
      <w:pPr>
        <w:spacing w:after="240" w:afterAutospacing="0"/>
        <w:rPr>
          <w:color w:val="C45911" w:themeColor="accent2" w:themeShade="BF"/>
        </w:rPr>
      </w:pPr>
      <w:r w:rsidRPr="002229B8">
        <w:t xml:space="preserve">The total contract amount for the </w:t>
      </w:r>
      <w:r w:rsidR="00463367" w:rsidRPr="002229B8">
        <w:t xml:space="preserve">middleware </w:t>
      </w:r>
      <w:r w:rsidR="00981085" w:rsidRPr="002229B8">
        <w:t xml:space="preserve">software </w:t>
      </w:r>
      <w:r w:rsidR="00463367" w:rsidRPr="002229B8">
        <w:t xml:space="preserve">application </w:t>
      </w:r>
      <w:r w:rsidR="00981085" w:rsidRPr="002229B8">
        <w:t xml:space="preserve">development </w:t>
      </w:r>
      <w:r w:rsidR="00762441" w:rsidRPr="002229B8">
        <w:t xml:space="preserve">and/or maintenance </w:t>
      </w:r>
      <w:r w:rsidR="00981085" w:rsidRPr="002229B8">
        <w:t>services</w:t>
      </w:r>
      <w:r w:rsidRPr="002229B8">
        <w:t xml:space="preserve">, the object of this contract, referred to in the previous Article 3, is given by the tender baseline amount equal to € </w:t>
      </w:r>
      <w:r w:rsidRPr="002229B8">
        <w:rPr>
          <w:color w:val="C45911" w:themeColor="accent2" w:themeShade="BF"/>
        </w:rPr>
        <w:t>[</w:t>
      </w:r>
      <w:r w:rsidRPr="002229B8">
        <w:rPr>
          <w:i/>
          <w:iCs/>
          <w:color w:val="C45911" w:themeColor="accent2" w:themeShade="BF"/>
        </w:rPr>
        <w:t>complete with relevant amount</w:t>
      </w:r>
      <w:r w:rsidRPr="002229B8">
        <w:rPr>
          <w:color w:val="C45911" w:themeColor="accent2" w:themeShade="BF"/>
        </w:rPr>
        <w:t xml:space="preserve">] </w:t>
      </w:r>
      <w:r w:rsidRPr="002229B8">
        <w:t xml:space="preserve">net of the bid </w:t>
      </w:r>
      <w:r w:rsidR="005B2597">
        <w:t>per cent</w:t>
      </w:r>
      <w:r w:rsidRPr="002229B8">
        <w:t xml:space="preserve"> price reduction offered, </w:t>
      </w:r>
      <w:r w:rsidRPr="002229B8">
        <w:rPr>
          <w:color w:val="C45911" w:themeColor="accent2" w:themeShade="BF"/>
        </w:rPr>
        <w:t>[</w:t>
      </w:r>
      <w:r w:rsidRPr="002229B8">
        <w:rPr>
          <w:i/>
          <w:iCs/>
          <w:color w:val="C45911" w:themeColor="accent2" w:themeShade="BF"/>
        </w:rPr>
        <w:t>insert the following only if applicable</w:t>
      </w:r>
      <w:r w:rsidRPr="002229B8">
        <w:t xml:space="preserve"> in addition to the security costs equal to € </w:t>
      </w:r>
      <w:r w:rsidRPr="002229B8">
        <w:rPr>
          <w:color w:val="C45911" w:themeColor="accent2" w:themeShade="BF"/>
        </w:rPr>
        <w:t>(</w:t>
      </w:r>
      <w:r w:rsidRPr="002229B8">
        <w:rPr>
          <w:i/>
          <w:iCs/>
          <w:color w:val="C45911" w:themeColor="accent2" w:themeShade="BF"/>
        </w:rPr>
        <w:t>indicate</w:t>
      </w:r>
      <w:r w:rsidRPr="002229B8">
        <w:rPr>
          <w:color w:val="C45911" w:themeColor="accent2" w:themeShade="BF"/>
        </w:rPr>
        <w:t xml:space="preserve"> </w:t>
      </w:r>
      <w:r w:rsidRPr="002229B8">
        <w:rPr>
          <w:i/>
          <w:iCs/>
          <w:color w:val="C45911" w:themeColor="accent2" w:themeShade="BF"/>
        </w:rPr>
        <w:t>amount</w:t>
      </w:r>
      <w:r w:rsidRPr="002229B8">
        <w:rPr>
          <w:color w:val="C45911" w:themeColor="accent2" w:themeShade="BF"/>
        </w:rPr>
        <w:t>)]</w:t>
      </w:r>
      <w:r w:rsidRPr="002229B8">
        <w:t>.</w:t>
      </w:r>
    </w:p>
    <w:p w14:paraId="20F2AC91" w14:textId="77777777" w:rsidR="007023D1" w:rsidRPr="002229B8" w:rsidRDefault="007023D1" w:rsidP="007023D1">
      <w:pPr>
        <w:spacing w:after="240" w:afterAutospacing="0"/>
        <w:rPr>
          <w:i/>
          <w:iCs/>
        </w:rPr>
      </w:pPr>
      <w:r w:rsidRPr="002229B8">
        <w:rPr>
          <w:b/>
          <w:color w:val="C45911" w:themeColor="accent2" w:themeShade="BF"/>
        </w:rPr>
        <w:t xml:space="preserve">[Optional: </w:t>
      </w:r>
      <w:r w:rsidRPr="002229B8">
        <w:t xml:space="preserve">An advance payment of </w:t>
      </w:r>
      <w:r w:rsidRPr="002229B8">
        <w:rPr>
          <w:color w:val="C45911" w:themeColor="accent2" w:themeShade="BF"/>
        </w:rPr>
        <w:t>[</w:t>
      </w:r>
      <w:r w:rsidRPr="002229B8">
        <w:rPr>
          <w:i/>
          <w:iCs/>
          <w:color w:val="C45911" w:themeColor="accent2" w:themeShade="BF"/>
        </w:rPr>
        <w:t xml:space="preserve">indicate </w:t>
      </w:r>
      <w:r w:rsidRPr="002229B8">
        <w:rPr>
          <w:i/>
          <w:color w:val="C45911" w:themeColor="accent2" w:themeShade="BF"/>
        </w:rPr>
        <w:t>%</w:t>
      </w:r>
      <w:r w:rsidRPr="002229B8">
        <w:rPr>
          <w:color w:val="C45911" w:themeColor="accent2" w:themeShade="BF"/>
        </w:rPr>
        <w:t>]</w:t>
      </w:r>
      <w:r w:rsidRPr="002229B8">
        <w:t xml:space="preserve"> is granted to the contractor, calculated on the value of the contract to be paid within </w:t>
      </w:r>
      <w:r w:rsidRPr="002229B8">
        <w:rPr>
          <w:color w:val="C45911" w:themeColor="accent2" w:themeShade="BF"/>
        </w:rPr>
        <w:t>[</w:t>
      </w:r>
      <w:r w:rsidRPr="002229B8">
        <w:rPr>
          <w:i/>
          <w:iCs/>
          <w:color w:val="C45911" w:themeColor="accent2" w:themeShade="BF"/>
        </w:rPr>
        <w:t>indicate the days</w:t>
      </w:r>
      <w:r w:rsidRPr="002229B8">
        <w:rPr>
          <w:color w:val="C45911" w:themeColor="accent2" w:themeShade="BF"/>
        </w:rPr>
        <w:t>]</w:t>
      </w:r>
      <w:r w:rsidRPr="002229B8">
        <w:t xml:space="preserve"> days of signing the contract.</w:t>
      </w:r>
    </w:p>
    <w:p w14:paraId="18D2F6E4" w14:textId="42DDA1AD" w:rsidR="007023D1" w:rsidRPr="002229B8" w:rsidRDefault="007023D1" w:rsidP="003A4052">
      <w:pPr>
        <w:spacing w:before="240" w:beforeAutospacing="0" w:after="240" w:afterAutospacing="0"/>
        <w:rPr>
          <w:b/>
          <w:bCs/>
        </w:rPr>
      </w:pPr>
      <w:r w:rsidRPr="002229B8">
        <w:t>The beneficiary loses the granted advance payment, with the obligation to refund if the execution of the contract does not proceed as per contract timetable terms due to delays caused by the latter. Legal interests will also be due on the refunded sums starting from the date of payment of the advance.</w:t>
      </w:r>
      <w:r w:rsidRPr="002229B8">
        <w:rPr>
          <w:b/>
          <w:color w:val="C45911" w:themeColor="accent2" w:themeShade="BF"/>
        </w:rPr>
        <w:t>]</w:t>
      </w:r>
    </w:p>
    <w:p w14:paraId="705655DA" w14:textId="77777777" w:rsidR="007023D1" w:rsidRPr="002229B8" w:rsidRDefault="007023D1" w:rsidP="007023D1">
      <w:pPr>
        <w:spacing w:after="240" w:afterAutospacing="0"/>
      </w:pPr>
      <w:r w:rsidRPr="002229B8">
        <w:t>The offer presented is intended to be all-inclusive of all direct and indirect costs and charges connected to the execution of the contract itself.</w:t>
      </w:r>
    </w:p>
    <w:p w14:paraId="3B2881E9" w14:textId="77777777" w:rsidR="007023D1" w:rsidRPr="002229B8" w:rsidRDefault="007023D1" w:rsidP="007023D1">
      <w:pPr>
        <w:spacing w:after="240" w:afterAutospacing="0"/>
        <w:ind w:right="-1"/>
        <w:rPr>
          <w:rFonts w:eastAsia="Arial"/>
        </w:rPr>
      </w:pPr>
      <w:r w:rsidRPr="002229B8">
        <w:rPr>
          <w:color w:val="C45911" w:themeColor="accent2" w:themeShade="BF"/>
        </w:rPr>
        <w:t>[</w:t>
      </w:r>
      <w:r w:rsidRPr="002229B8">
        <w:rPr>
          <w:i/>
          <w:color w:val="C45911" w:themeColor="accent2" w:themeShade="BF"/>
        </w:rPr>
        <w:t>If the contract remuneration is on a “</w:t>
      </w:r>
      <w:r w:rsidRPr="002229B8">
        <w:rPr>
          <w:b/>
          <w:i/>
          <w:color w:val="C45911" w:themeColor="accent2" w:themeShade="BF"/>
        </w:rPr>
        <w:t>per-measure</w:t>
      </w:r>
      <w:r w:rsidRPr="002229B8">
        <w:rPr>
          <w:i/>
          <w:color w:val="C45911" w:themeColor="accent2" w:themeShade="BF"/>
        </w:rPr>
        <w:t>” basis, apply the following formula:</w:t>
      </w:r>
      <w:r w:rsidRPr="002229B8">
        <w:rPr>
          <w:rFonts w:ascii="Arial" w:eastAsia="Arial" w:hAnsi="Arial"/>
        </w:rPr>
        <w:t xml:space="preserve"> </w:t>
      </w:r>
      <w:r w:rsidRPr="002229B8">
        <w:t>The awarding of this Tender and signing of the related contract do not constitute an entitlement for the contractor to be entrusted with the performance of activities that these specifications indicate as possible, optional (i.e. to be carried out only upon specific request of the CA).</w:t>
      </w:r>
      <w:r w:rsidRPr="002229B8">
        <w:rPr>
          <w:b/>
          <w:color w:val="C45911" w:themeColor="accent2" w:themeShade="BF"/>
        </w:rPr>
        <w:t>]</w:t>
      </w:r>
      <w:r w:rsidRPr="002229B8">
        <w:t xml:space="preserve"> </w:t>
      </w:r>
    </w:p>
    <w:p w14:paraId="1C0C88E9" w14:textId="77777777" w:rsidR="007023D1" w:rsidRPr="002229B8" w:rsidRDefault="007023D1" w:rsidP="007023D1">
      <w:pPr>
        <w:spacing w:after="240" w:afterAutospacing="0"/>
        <w:contextualSpacing/>
        <w:rPr>
          <w:color w:val="C45911" w:themeColor="accent2" w:themeShade="BF"/>
        </w:rPr>
      </w:pPr>
      <w:r w:rsidRPr="002229B8">
        <w:t>To this end, the contractor expressly declares that it fully acknowledges all obligations and constraints mentioned above.</w:t>
      </w:r>
    </w:p>
    <w:p w14:paraId="27ED0E24" w14:textId="77777777" w:rsidR="007023D1" w:rsidRPr="002229B8" w:rsidRDefault="007023D1" w:rsidP="00B17E1F">
      <w:pPr>
        <w:pStyle w:val="Heading2"/>
        <w:keepLines/>
        <w:numPr>
          <w:ilvl w:val="1"/>
          <w:numId w:val="2"/>
        </w:numPr>
        <w:spacing w:before="100" w:beforeAutospacing="1"/>
        <w:ind w:left="936" w:hanging="576"/>
        <w:rPr>
          <w:rFonts w:eastAsiaTheme="majorEastAsia" w:cstheme="majorBidi"/>
        </w:rPr>
      </w:pPr>
      <w:bookmarkStart w:id="18" w:name="_Toc191487076"/>
      <w:r w:rsidRPr="002229B8">
        <w:rPr>
          <w:rFonts w:eastAsiaTheme="majorEastAsia" w:cstheme="majorBidi"/>
        </w:rPr>
        <w:t>Duration</w:t>
      </w:r>
      <w:bookmarkEnd w:id="18"/>
    </w:p>
    <w:p w14:paraId="6E470A0A" w14:textId="77777777" w:rsidR="00F636A2" w:rsidRPr="002229B8" w:rsidRDefault="00F636A2" w:rsidP="00F636A2">
      <w:pPr>
        <w:spacing w:before="240" w:beforeAutospacing="0" w:after="240" w:afterAutospacing="0"/>
      </w:pPr>
      <w:r w:rsidRPr="002229B8">
        <w:t xml:space="preserve">The contract resulting from the award of this call for tenders will have to be concluded within a maximum </w:t>
      </w:r>
      <w:r w:rsidRPr="002229B8">
        <w:rPr>
          <w:color w:val="C45911" w:themeColor="accent2" w:themeShade="BF"/>
        </w:rPr>
        <w:t>[</w:t>
      </w:r>
      <w:r w:rsidRPr="002229B8">
        <w:rPr>
          <w:i/>
          <w:color w:val="C45911" w:themeColor="accent2" w:themeShade="BF"/>
        </w:rPr>
        <w:t>indicate number of days/months</w:t>
      </w:r>
      <w:r w:rsidRPr="002229B8">
        <w:rPr>
          <w:color w:val="C45911" w:themeColor="accent2" w:themeShade="BF"/>
        </w:rPr>
        <w:t>]</w:t>
      </w:r>
      <w:r w:rsidRPr="002229B8">
        <w:t xml:space="preserve"> from the date of </w:t>
      </w:r>
      <w:r w:rsidRPr="002229B8">
        <w:rPr>
          <w:color w:val="C45911" w:themeColor="accent2" w:themeShade="BF"/>
        </w:rPr>
        <w:t>[</w:t>
      </w:r>
      <w:r w:rsidRPr="002229B8">
        <w:rPr>
          <w:i/>
          <w:color w:val="C45911" w:themeColor="accent2" w:themeShade="BF"/>
        </w:rPr>
        <w:t>select one option:</w:t>
      </w:r>
      <w:r w:rsidRPr="002229B8">
        <w:rPr>
          <w:color w:val="C45911" w:themeColor="accent2" w:themeShade="BF"/>
        </w:rPr>
        <w:t xml:space="preserve"> </w:t>
      </w:r>
      <w:r w:rsidRPr="002229B8">
        <w:rPr>
          <w:b/>
          <w:color w:val="C45911"/>
        </w:rPr>
        <w:t>contract issuance/ purchase order issuance / the activities commencement report signed between the parties and hand-over of activities</w:t>
      </w:r>
      <w:r w:rsidRPr="002229B8">
        <w:rPr>
          <w:color w:val="C45911" w:themeColor="accent2" w:themeShade="BF"/>
        </w:rPr>
        <w:t>]</w:t>
      </w:r>
      <w:r w:rsidRPr="002229B8">
        <w:t>.</w:t>
      </w:r>
    </w:p>
    <w:p w14:paraId="365902F7" w14:textId="77777777" w:rsidR="00F636A2" w:rsidRPr="002229B8" w:rsidRDefault="00F636A2" w:rsidP="00F636A2">
      <w:pPr>
        <w:spacing w:before="240" w:beforeAutospacing="0" w:after="240" w:afterAutospacing="0"/>
        <w:rPr>
          <w:i/>
          <w:color w:val="C45911" w:themeColor="accent2" w:themeShade="BF"/>
        </w:rPr>
      </w:pPr>
      <w:r w:rsidRPr="002229B8">
        <w:rPr>
          <w:color w:val="C45911" w:themeColor="accent2" w:themeShade="BF"/>
        </w:rPr>
        <w:t>[</w:t>
      </w:r>
      <w:r w:rsidRPr="002229B8">
        <w:rPr>
          <w:i/>
          <w:iCs/>
          <w:color w:val="C45911" w:themeColor="accent2" w:themeShade="BF"/>
        </w:rPr>
        <w:t>If the contract is divided into multiple lots, specify any differentiated durations for each lot</w:t>
      </w:r>
      <w:r w:rsidRPr="002229B8">
        <w:rPr>
          <w:color w:val="C45911" w:themeColor="accent2" w:themeShade="BF"/>
        </w:rPr>
        <w:t>].</w:t>
      </w:r>
    </w:p>
    <w:p w14:paraId="0FD395C6" w14:textId="77777777" w:rsidR="00F636A2" w:rsidRPr="002229B8" w:rsidRDefault="00F636A2" w:rsidP="00F636A2">
      <w:pPr>
        <w:spacing w:before="240" w:beforeAutospacing="0" w:after="240" w:afterAutospacing="0"/>
        <w:rPr>
          <w:b/>
          <w:color w:val="C45911" w:themeColor="accent2" w:themeShade="BF"/>
        </w:rPr>
      </w:pPr>
      <w:r w:rsidRPr="002229B8">
        <w:rPr>
          <w:b/>
          <w:color w:val="C45911" w:themeColor="accent2" w:themeShade="BF"/>
          <w:sz w:val="32"/>
          <w:szCs w:val="32"/>
        </w:rPr>
        <w:t>[</w:t>
      </w:r>
      <w:r w:rsidRPr="002229B8">
        <w:rPr>
          <w:b/>
          <w:color w:val="C45911" w:themeColor="accent2" w:themeShade="BF"/>
        </w:rPr>
        <w:t>Optional:</w:t>
      </w:r>
      <w:r w:rsidRPr="002229B8">
        <w:rPr>
          <w:color w:val="C45911" w:themeColor="accent2" w:themeShade="BF"/>
        </w:rPr>
        <w:t xml:space="preserve"> </w:t>
      </w:r>
      <w:r w:rsidRPr="002229B8">
        <w:t xml:space="preserve">The duration of the contract can be extended, at the same prices, terms and conditions for a period equal to </w:t>
      </w:r>
      <w:r w:rsidRPr="002229B8">
        <w:rPr>
          <w:color w:val="C45911" w:themeColor="accent2" w:themeShade="BF"/>
        </w:rPr>
        <w:t>[</w:t>
      </w:r>
      <w:r w:rsidRPr="002229B8">
        <w:rPr>
          <w:i/>
          <w:iCs/>
          <w:color w:val="C45911" w:themeColor="accent2" w:themeShade="BF"/>
        </w:rPr>
        <w:t>indicate a duration not exceeding that of the initial contract</w:t>
      </w:r>
      <w:r w:rsidRPr="002229B8">
        <w:rPr>
          <w:color w:val="C45911" w:themeColor="accent2" w:themeShade="BF"/>
        </w:rPr>
        <w:t>]</w:t>
      </w:r>
      <w:r w:rsidRPr="002229B8">
        <w:rPr>
          <w:iCs/>
        </w:rPr>
        <w:t xml:space="preserve">, for a total </w:t>
      </w:r>
      <w:r w:rsidRPr="002229B8">
        <w:rPr>
          <w:iCs/>
        </w:rPr>
        <w:lastRenderedPageBreak/>
        <w:t xml:space="preserve">amount of € </w:t>
      </w:r>
      <w:r w:rsidRPr="002229B8">
        <w:rPr>
          <w:color w:val="C45911" w:themeColor="accent2" w:themeShade="BF"/>
        </w:rPr>
        <w:t>[</w:t>
      </w:r>
      <w:r w:rsidRPr="002229B8">
        <w:rPr>
          <w:i/>
          <w:iCs/>
          <w:color w:val="C45911" w:themeColor="accent2" w:themeShade="BF"/>
        </w:rPr>
        <w:t>indicate amount</w:t>
      </w:r>
      <w:r w:rsidRPr="002229B8">
        <w:rPr>
          <w:color w:val="C45911" w:themeColor="accent2" w:themeShade="BF"/>
        </w:rPr>
        <w:t>]</w:t>
      </w:r>
      <w:r w:rsidRPr="002229B8">
        <w:t xml:space="preserve">, VAT excluded and/or other taxes. </w:t>
      </w:r>
      <w:r w:rsidRPr="002229B8">
        <w:rPr>
          <w:iCs/>
        </w:rPr>
        <w:t xml:space="preserve">The exercise of this right is communicated to the contractor at least </w:t>
      </w:r>
      <w:r w:rsidRPr="002229B8">
        <w:rPr>
          <w:color w:val="C45911" w:themeColor="accent2" w:themeShade="BF"/>
        </w:rPr>
        <w:t>[</w:t>
      </w:r>
      <w:r w:rsidRPr="002229B8">
        <w:rPr>
          <w:i/>
          <w:iCs/>
          <w:color w:val="C45911" w:themeColor="accent2" w:themeShade="BF"/>
        </w:rPr>
        <w:t>indicate number of days/months</w:t>
      </w:r>
      <w:r w:rsidRPr="002229B8">
        <w:rPr>
          <w:iCs/>
          <w:color w:val="C45911" w:themeColor="accent2" w:themeShade="BF"/>
        </w:rPr>
        <w:t>]</w:t>
      </w:r>
      <w:r w:rsidRPr="002229B8">
        <w:rPr>
          <w:iCs/>
        </w:rPr>
        <w:t xml:space="preserve"> before the expiration of the contract.</w:t>
      </w:r>
      <w:r w:rsidRPr="002229B8">
        <w:rPr>
          <w:b/>
          <w:color w:val="C45911" w:themeColor="accent2" w:themeShade="BF"/>
          <w:sz w:val="32"/>
          <w:szCs w:val="32"/>
        </w:rPr>
        <w:t>]</w:t>
      </w:r>
    </w:p>
    <w:p w14:paraId="432590D1" w14:textId="3F8ECF93" w:rsidR="00F636A2" w:rsidRPr="002229B8" w:rsidRDefault="00F636A2" w:rsidP="00F636A2">
      <w:pPr>
        <w:spacing w:before="240" w:beforeAutospacing="0" w:after="240" w:afterAutospacing="0"/>
      </w:pPr>
      <w:r w:rsidRPr="002229B8">
        <w:t>The contractor is required to deliver and test the solution</w:t>
      </w:r>
      <w:r w:rsidR="00034BFA">
        <w:t>,</w:t>
      </w:r>
      <w:r w:rsidRPr="002229B8">
        <w:t xml:space="preserve"> including all tools specified in the Technical Specifications</w:t>
      </w:r>
      <w:r w:rsidR="00034BFA">
        <w:t>,</w:t>
      </w:r>
      <w:r w:rsidRPr="002229B8">
        <w:t xml:space="preserve"> within a maximum period of </w:t>
      </w:r>
      <w:r w:rsidRPr="002229B8">
        <w:rPr>
          <w:color w:val="C45911" w:themeColor="accent2" w:themeShade="BF"/>
        </w:rPr>
        <w:t>[</w:t>
      </w:r>
      <w:r w:rsidRPr="002229B8">
        <w:rPr>
          <w:i/>
          <w:iCs/>
          <w:color w:val="C45911" w:themeColor="accent2" w:themeShade="BF"/>
        </w:rPr>
        <w:t>indicate number of days/months</w:t>
      </w:r>
      <w:r w:rsidRPr="002229B8">
        <w:rPr>
          <w:color w:val="C45911" w:themeColor="accent2" w:themeShade="BF"/>
        </w:rPr>
        <w:t>]</w:t>
      </w:r>
      <w:r w:rsidRPr="002229B8">
        <w:t xml:space="preserve"> from the date of </w:t>
      </w:r>
      <w:r w:rsidRPr="002229B8">
        <w:rPr>
          <w:color w:val="C45911" w:themeColor="accent2" w:themeShade="BF"/>
        </w:rPr>
        <w:t>[</w:t>
      </w:r>
      <w:r w:rsidRPr="002229B8">
        <w:rPr>
          <w:i/>
          <w:color w:val="C45911" w:themeColor="accent2" w:themeShade="BF"/>
        </w:rPr>
        <w:t>select one option:</w:t>
      </w:r>
      <w:r w:rsidRPr="002229B8">
        <w:rPr>
          <w:color w:val="C45911" w:themeColor="accent2" w:themeShade="BF"/>
        </w:rPr>
        <w:t xml:space="preserve"> </w:t>
      </w:r>
      <w:r w:rsidRPr="002229B8">
        <w:rPr>
          <w:b/>
          <w:color w:val="C45911"/>
        </w:rPr>
        <w:t>contract issuance/ purchase order issuance / the activities commencement report signed between the parties and hand-over of activities</w:t>
      </w:r>
      <w:r w:rsidRPr="002229B8">
        <w:rPr>
          <w:color w:val="C45911" w:themeColor="accent2" w:themeShade="BF"/>
        </w:rPr>
        <w:t>]</w:t>
      </w:r>
      <w:r w:rsidRPr="002229B8">
        <w:t>.</w:t>
      </w:r>
    </w:p>
    <w:p w14:paraId="13316B22" w14:textId="77777777" w:rsidR="00F636A2" w:rsidRPr="002229B8" w:rsidRDefault="00F636A2" w:rsidP="00F636A2">
      <w:pPr>
        <w:spacing w:before="240" w:beforeAutospacing="0" w:after="240" w:afterAutospacing="0"/>
      </w:pPr>
      <w:r w:rsidRPr="002229B8">
        <w:t>Failure by the contractor to comply with this schedule is subject to the application of penalties and may potentially lead to contract termination.</w:t>
      </w:r>
    </w:p>
    <w:p w14:paraId="2B0917E7" w14:textId="77777777" w:rsidR="007023D1" w:rsidRPr="002229B8" w:rsidRDefault="007023D1" w:rsidP="00B17E1F">
      <w:pPr>
        <w:pStyle w:val="Heading2"/>
        <w:keepLines/>
        <w:numPr>
          <w:ilvl w:val="1"/>
          <w:numId w:val="2"/>
        </w:numPr>
        <w:spacing w:before="100" w:beforeAutospacing="1"/>
        <w:ind w:left="936" w:hanging="576"/>
        <w:rPr>
          <w:rFonts w:eastAsiaTheme="majorEastAsia" w:cstheme="majorBidi"/>
        </w:rPr>
      </w:pPr>
      <w:bookmarkStart w:id="19" w:name="_Toc191487077"/>
      <w:r w:rsidRPr="002229B8">
        <w:rPr>
          <w:rFonts w:eastAsiaTheme="majorEastAsia" w:cstheme="majorBidi"/>
          <w:u w:val="none"/>
        </w:rPr>
        <w:t>Accounting and invoicing</w:t>
      </w:r>
      <w:bookmarkEnd w:id="19"/>
    </w:p>
    <w:p w14:paraId="18D66E2A" w14:textId="77777777" w:rsidR="00621417" w:rsidRPr="002229B8" w:rsidRDefault="00621417" w:rsidP="00621417">
      <w:pPr>
        <w:pStyle w:val="BodyText"/>
        <w:spacing w:before="240" w:after="240"/>
        <w:rPr>
          <w:rFonts w:ascii="Times New Roman" w:hAnsi="Times New Roman"/>
          <w:u w:val="single"/>
          <w:lang w:val="en-GB"/>
        </w:rPr>
      </w:pPr>
      <w:r w:rsidRPr="002229B8">
        <w:rPr>
          <w:rFonts w:ascii="Times New Roman" w:hAnsi="Times New Roman"/>
          <w:lang w:val="en-GB"/>
        </w:rPr>
        <w:t xml:space="preserve">The amount of the service will be accounted for on a </w:t>
      </w:r>
      <w:r w:rsidRPr="002229B8">
        <w:rPr>
          <w:rFonts w:ascii="Times New Roman" w:hAnsi="Times New Roman"/>
          <w:color w:val="C45911" w:themeColor="accent2" w:themeShade="BF"/>
          <w:lang w:val="en-GB"/>
        </w:rPr>
        <w:t>[</w:t>
      </w:r>
      <w:r w:rsidRPr="002229B8">
        <w:rPr>
          <w:rFonts w:ascii="Times New Roman" w:hAnsi="Times New Roman"/>
          <w:i/>
          <w:iCs/>
          <w:color w:val="C45911" w:themeColor="accent2" w:themeShade="BF"/>
          <w:lang w:val="en-GB"/>
        </w:rPr>
        <w:t>select one option:</w:t>
      </w:r>
      <w:r w:rsidRPr="002229B8">
        <w:rPr>
          <w:rFonts w:ascii="Times New Roman" w:hAnsi="Times New Roman"/>
          <w:color w:val="C45911" w:themeColor="accent2" w:themeShade="BF"/>
          <w:lang w:val="en-GB"/>
        </w:rPr>
        <w:t xml:space="preserve"> </w:t>
      </w:r>
      <w:r w:rsidRPr="002229B8">
        <w:rPr>
          <w:rFonts w:ascii="Times New Roman" w:hAnsi="Times New Roman"/>
          <w:b/>
          <w:color w:val="C45911"/>
          <w:lang w:val="en-GB"/>
        </w:rPr>
        <w:t>“lump sum”/“per-measure”</w:t>
      </w:r>
      <w:r w:rsidRPr="002229B8">
        <w:rPr>
          <w:rFonts w:ascii="Times New Roman" w:hAnsi="Times New Roman"/>
          <w:color w:val="C45911"/>
          <w:lang w:val="en-GB"/>
        </w:rPr>
        <w:t>]</w:t>
      </w:r>
      <w:r w:rsidRPr="002229B8">
        <w:rPr>
          <w:rFonts w:ascii="Times New Roman" w:hAnsi="Times New Roman"/>
          <w:b/>
          <w:color w:val="C45911"/>
          <w:lang w:val="en-GB"/>
        </w:rPr>
        <w:t xml:space="preserve"> </w:t>
      </w:r>
      <w:r w:rsidRPr="002229B8">
        <w:rPr>
          <w:rFonts w:ascii="Times New Roman" w:hAnsi="Times New Roman"/>
          <w:bCs/>
          <w:lang w:val="en-GB"/>
        </w:rPr>
        <w:t>basis</w:t>
      </w:r>
      <w:r w:rsidRPr="002229B8">
        <w:rPr>
          <w:rFonts w:ascii="Times New Roman" w:hAnsi="Times New Roman"/>
          <w:lang w:val="en-GB"/>
        </w:rPr>
        <w:t>.</w:t>
      </w:r>
    </w:p>
    <w:p w14:paraId="754D02AB" w14:textId="0112FA77" w:rsidR="00621417" w:rsidRPr="002229B8" w:rsidRDefault="00621417" w:rsidP="00621417">
      <w:pPr>
        <w:pStyle w:val="BodyText"/>
        <w:spacing w:before="240" w:after="240"/>
        <w:rPr>
          <w:rFonts w:ascii="Times New Roman" w:hAnsi="Times New Roman"/>
          <w:lang w:val="en-GB"/>
        </w:rPr>
      </w:pPr>
      <w:r w:rsidRPr="002229B8">
        <w:rPr>
          <w:rFonts w:ascii="Times New Roman" w:hAnsi="Times New Roman"/>
          <w:b/>
          <w:color w:val="C45911" w:themeColor="accent2" w:themeShade="BF"/>
          <w:sz w:val="32"/>
          <w:szCs w:val="32"/>
          <w:lang w:val="en-GB"/>
        </w:rPr>
        <w:t>[</w:t>
      </w:r>
      <w:r w:rsidRPr="002229B8">
        <w:rPr>
          <w:rFonts w:ascii="Times New Roman" w:hAnsi="Times New Roman"/>
          <w:b/>
          <w:color w:val="C45911" w:themeColor="accent2" w:themeShade="BF"/>
          <w:lang w:val="en-GB"/>
        </w:rPr>
        <w:t xml:space="preserve">Insert only in case of “per-measure” basis accounting: </w:t>
      </w:r>
      <w:r w:rsidRPr="002229B8">
        <w:rPr>
          <w:rFonts w:ascii="Times New Roman" w:hAnsi="Times New Roman"/>
          <w:lang w:val="en-GB"/>
        </w:rPr>
        <w:t>The amount of the service to be accounted for on a “</w:t>
      </w:r>
      <w:r w:rsidRPr="002229B8">
        <w:rPr>
          <w:rFonts w:ascii="Times New Roman" w:hAnsi="Times New Roman"/>
          <w:b/>
          <w:bCs/>
          <w:lang w:val="en-GB"/>
        </w:rPr>
        <w:t>per-measure</w:t>
      </w:r>
      <w:r w:rsidRPr="002229B8">
        <w:rPr>
          <w:rFonts w:ascii="Times New Roman" w:hAnsi="Times New Roman"/>
          <w:lang w:val="en-GB"/>
        </w:rPr>
        <w:t xml:space="preserve">” basis will be compensated on the basis of the unit prices stated in the Pricelist (Annex 6) net of the bid </w:t>
      </w:r>
      <w:r w:rsidR="005B2597">
        <w:rPr>
          <w:rFonts w:ascii="Times New Roman" w:hAnsi="Times New Roman"/>
          <w:lang w:val="en-GB"/>
        </w:rPr>
        <w:t>per cent</w:t>
      </w:r>
      <w:r w:rsidRPr="002229B8">
        <w:rPr>
          <w:rFonts w:ascii="Times New Roman" w:hAnsi="Times New Roman"/>
          <w:lang w:val="en-GB"/>
        </w:rPr>
        <w:t xml:space="preserve"> price reduction offered. Accounting will be carried out </w:t>
      </w:r>
      <w:r w:rsidRPr="002229B8">
        <w:rPr>
          <w:rFonts w:ascii="Times New Roman" w:hAnsi="Times New Roman"/>
          <w:color w:val="C45911" w:themeColor="accent2" w:themeShade="BF"/>
          <w:lang w:val="en-GB"/>
        </w:rPr>
        <w:t>[</w:t>
      </w:r>
      <w:r w:rsidRPr="002229B8">
        <w:rPr>
          <w:rFonts w:ascii="Times New Roman" w:hAnsi="Times New Roman"/>
          <w:i/>
          <w:iCs/>
          <w:color w:val="C45911" w:themeColor="accent2" w:themeShade="BF"/>
          <w:lang w:val="en-GB"/>
        </w:rPr>
        <w:t>select</w:t>
      </w:r>
      <w:r w:rsidRPr="002229B8">
        <w:rPr>
          <w:rFonts w:ascii="Times New Roman" w:hAnsi="Times New Roman"/>
          <w:color w:val="C45911" w:themeColor="accent2" w:themeShade="BF"/>
          <w:lang w:val="en-GB"/>
        </w:rPr>
        <w:t xml:space="preserve">: </w:t>
      </w:r>
      <w:r w:rsidRPr="002229B8">
        <w:rPr>
          <w:rFonts w:ascii="Times New Roman" w:hAnsi="Times New Roman"/>
          <w:color w:val="C45911"/>
          <w:lang w:val="en-GB"/>
        </w:rPr>
        <w:t xml:space="preserve">weekly/monthly/other] </w:t>
      </w:r>
      <w:r w:rsidRPr="002229B8">
        <w:rPr>
          <w:rFonts w:ascii="Times New Roman" w:hAnsi="Times New Roman"/>
          <w:lang w:val="en-GB"/>
        </w:rPr>
        <w:t>on the basis of the activities completed within the reference period.</w:t>
      </w:r>
      <w:r w:rsidRPr="002229B8">
        <w:rPr>
          <w:rFonts w:ascii="Times New Roman" w:hAnsi="Times New Roman"/>
          <w:b/>
          <w:color w:val="C45911" w:themeColor="accent2" w:themeShade="BF"/>
          <w:sz w:val="32"/>
          <w:szCs w:val="32"/>
          <w:lang w:val="en-GB"/>
        </w:rPr>
        <w:t>]</w:t>
      </w:r>
    </w:p>
    <w:p w14:paraId="266C49EA" w14:textId="5E7A3CD4" w:rsidR="00621417" w:rsidRPr="002229B8" w:rsidRDefault="00621417" w:rsidP="00621417">
      <w:pPr>
        <w:pStyle w:val="BodyText"/>
        <w:spacing w:before="240" w:after="240"/>
        <w:rPr>
          <w:rFonts w:ascii="Times New Roman" w:hAnsi="Times New Roman"/>
          <w:lang w:val="en-GB"/>
        </w:rPr>
      </w:pPr>
      <w:r w:rsidRPr="002229B8">
        <w:rPr>
          <w:rFonts w:ascii="Times New Roman" w:hAnsi="Times New Roman"/>
          <w:b/>
          <w:color w:val="C45911" w:themeColor="accent2" w:themeShade="BF"/>
          <w:sz w:val="32"/>
          <w:szCs w:val="32"/>
          <w:lang w:val="en-GB"/>
        </w:rPr>
        <w:t>[</w:t>
      </w:r>
      <w:r w:rsidRPr="002229B8">
        <w:rPr>
          <w:rFonts w:ascii="Times New Roman" w:hAnsi="Times New Roman"/>
          <w:b/>
          <w:color w:val="C45911" w:themeColor="accent2" w:themeShade="BF"/>
          <w:lang w:val="en-GB"/>
        </w:rPr>
        <w:t xml:space="preserve">Insert only in case of “lump sum” basis accounting and for compensation of services with a fixed fee: </w:t>
      </w:r>
      <w:r w:rsidRPr="002229B8">
        <w:rPr>
          <w:rFonts w:ascii="Times New Roman" w:hAnsi="Times New Roman"/>
          <w:lang w:val="en-GB"/>
        </w:rPr>
        <w:t>The amount of the service to be accounted for on a “</w:t>
      </w:r>
      <w:r w:rsidRPr="002229B8">
        <w:rPr>
          <w:rFonts w:ascii="Times New Roman" w:hAnsi="Times New Roman"/>
          <w:b/>
          <w:bCs/>
          <w:lang w:val="en-GB"/>
        </w:rPr>
        <w:t>lump sum</w:t>
      </w:r>
      <w:r w:rsidRPr="002229B8">
        <w:rPr>
          <w:rFonts w:ascii="Times New Roman" w:hAnsi="Times New Roman"/>
          <w:lang w:val="en-GB"/>
        </w:rPr>
        <w:t xml:space="preserve">” basis will be compensated through a </w:t>
      </w:r>
      <w:r w:rsidRPr="002229B8">
        <w:rPr>
          <w:rFonts w:ascii="Times New Roman" w:hAnsi="Times New Roman"/>
          <w:bCs/>
          <w:color w:val="C45911" w:themeColor="accent2" w:themeShade="BF"/>
          <w:lang w:val="en-GB"/>
        </w:rPr>
        <w:t>monthly</w:t>
      </w:r>
      <w:r w:rsidRPr="002229B8">
        <w:rPr>
          <w:rFonts w:ascii="Times New Roman" w:hAnsi="Times New Roman"/>
          <w:lang w:val="en-GB"/>
        </w:rPr>
        <w:t xml:space="preserve"> </w:t>
      </w:r>
      <w:r w:rsidRPr="002229B8">
        <w:rPr>
          <w:rFonts w:ascii="Times New Roman" w:hAnsi="Times New Roman"/>
          <w:color w:val="C45911" w:themeColor="accent2" w:themeShade="BF"/>
          <w:lang w:val="en-GB"/>
        </w:rPr>
        <w:t>[</w:t>
      </w:r>
      <w:r w:rsidRPr="002229B8">
        <w:rPr>
          <w:rFonts w:ascii="Times New Roman" w:hAnsi="Times New Roman"/>
          <w:i/>
          <w:iCs/>
          <w:color w:val="C45911" w:themeColor="accent2" w:themeShade="BF"/>
          <w:lang w:val="en-GB"/>
        </w:rPr>
        <w:t>or</w:t>
      </w:r>
      <w:r w:rsidRPr="002229B8">
        <w:rPr>
          <w:rFonts w:ascii="Times New Roman" w:hAnsi="Times New Roman"/>
          <w:color w:val="C45911" w:themeColor="accent2" w:themeShade="BF"/>
          <w:lang w:val="en-GB"/>
        </w:rPr>
        <w:t xml:space="preserve"> </w:t>
      </w:r>
      <w:r w:rsidRPr="002229B8">
        <w:rPr>
          <w:rFonts w:ascii="Times New Roman" w:hAnsi="Times New Roman"/>
          <w:i/>
          <w:iCs/>
          <w:color w:val="C45911" w:themeColor="accent2" w:themeShade="BF"/>
          <w:lang w:val="en-GB"/>
        </w:rPr>
        <w:t>indicate alternative compensation interval scheme</w:t>
      </w:r>
      <w:r w:rsidRPr="002229B8">
        <w:rPr>
          <w:rFonts w:ascii="Times New Roman" w:hAnsi="Times New Roman"/>
          <w:color w:val="C45911" w:themeColor="accent2" w:themeShade="BF"/>
          <w:lang w:val="en-GB"/>
        </w:rPr>
        <w:t>]</w:t>
      </w:r>
      <w:r w:rsidRPr="002229B8">
        <w:rPr>
          <w:rFonts w:ascii="Times New Roman" w:hAnsi="Times New Roman"/>
          <w:lang w:val="en-GB"/>
        </w:rPr>
        <w:t xml:space="preserve"> fee equal to </w:t>
      </w:r>
      <w:r w:rsidRPr="002229B8">
        <w:rPr>
          <w:rFonts w:ascii="Times New Roman" w:hAnsi="Times New Roman"/>
          <w:bCs/>
          <w:color w:val="C45911" w:themeColor="accent2" w:themeShade="BF"/>
          <w:lang w:val="en-GB"/>
        </w:rPr>
        <w:t>1/12</w:t>
      </w:r>
      <w:r w:rsidRPr="002229B8">
        <w:rPr>
          <w:rFonts w:ascii="Times New Roman" w:hAnsi="Times New Roman"/>
          <w:bCs/>
          <w:color w:val="C45911" w:themeColor="accent2" w:themeShade="BF"/>
          <w:vertAlign w:val="superscript"/>
          <w:lang w:val="en-GB"/>
        </w:rPr>
        <w:t>th</w:t>
      </w:r>
      <w:r w:rsidRPr="002229B8">
        <w:rPr>
          <w:rFonts w:ascii="Times New Roman" w:hAnsi="Times New Roman"/>
          <w:bCs/>
          <w:color w:val="C45911" w:themeColor="accent2" w:themeShade="BF"/>
          <w:lang w:val="en-GB"/>
        </w:rPr>
        <w:t xml:space="preserve"> (one-twelvth) </w:t>
      </w:r>
      <w:r w:rsidRPr="002229B8">
        <w:rPr>
          <w:rFonts w:ascii="Times New Roman" w:hAnsi="Times New Roman"/>
          <w:color w:val="C45911" w:themeColor="accent2" w:themeShade="BF"/>
          <w:lang w:val="en-GB"/>
        </w:rPr>
        <w:t>[</w:t>
      </w:r>
      <w:r w:rsidRPr="002229B8">
        <w:rPr>
          <w:rFonts w:ascii="Times New Roman" w:hAnsi="Times New Roman"/>
          <w:i/>
          <w:iCs/>
          <w:color w:val="C45911" w:themeColor="accent2" w:themeShade="BF"/>
          <w:lang w:val="en-GB"/>
        </w:rPr>
        <w:t>or</w:t>
      </w:r>
      <w:r w:rsidRPr="002229B8">
        <w:rPr>
          <w:rFonts w:ascii="Times New Roman" w:hAnsi="Times New Roman"/>
          <w:color w:val="C45911" w:themeColor="accent2" w:themeShade="BF"/>
          <w:lang w:val="en-GB"/>
        </w:rPr>
        <w:t xml:space="preserve"> </w:t>
      </w:r>
      <w:r w:rsidRPr="002229B8">
        <w:rPr>
          <w:rFonts w:ascii="Times New Roman" w:hAnsi="Times New Roman"/>
          <w:i/>
          <w:iCs/>
          <w:color w:val="C45911" w:themeColor="accent2" w:themeShade="BF"/>
          <w:lang w:val="en-GB"/>
        </w:rPr>
        <w:t>indicate alternative compensation fraction in accordance with the chosen compensation interval scheme</w:t>
      </w:r>
      <w:r w:rsidRPr="002229B8">
        <w:rPr>
          <w:rFonts w:ascii="Times New Roman" w:hAnsi="Times New Roman"/>
          <w:color w:val="C45911" w:themeColor="accent2" w:themeShade="BF"/>
          <w:lang w:val="en-GB"/>
        </w:rPr>
        <w:t>]</w:t>
      </w:r>
      <w:r w:rsidRPr="002229B8">
        <w:rPr>
          <w:rFonts w:ascii="Times New Roman" w:hAnsi="Times New Roman"/>
          <w:lang w:val="en-GB"/>
        </w:rPr>
        <w:t xml:space="preserve"> </w:t>
      </w:r>
      <w:r w:rsidRPr="002229B8">
        <w:rPr>
          <w:rFonts w:ascii="Times New Roman" w:hAnsi="Times New Roman"/>
          <w:bCs/>
          <w:color w:val="000000" w:themeColor="text1"/>
          <w:lang w:val="en-GB"/>
        </w:rPr>
        <w:t>of the corresponding tender baseline amount indicated in Article 3.6 (amount corresponding to letters A+B</w:t>
      </w:r>
      <w:r w:rsidR="00036603" w:rsidRPr="002229B8">
        <w:rPr>
          <w:rFonts w:ascii="Times New Roman" w:hAnsi="Times New Roman"/>
          <w:bCs/>
          <w:color w:val="000000" w:themeColor="text1"/>
          <w:lang w:val="en-GB"/>
        </w:rPr>
        <w:t>+C</w:t>
      </w:r>
      <w:r w:rsidRPr="002229B8">
        <w:rPr>
          <w:rFonts w:ascii="Times New Roman" w:hAnsi="Times New Roman"/>
          <w:bCs/>
          <w:color w:val="000000" w:themeColor="text1"/>
          <w:lang w:val="en-GB"/>
        </w:rPr>
        <w:t xml:space="preserve"> of Table 1) of the Tender Specifications, </w:t>
      </w:r>
      <w:r w:rsidRPr="002229B8">
        <w:rPr>
          <w:rFonts w:ascii="Times New Roman" w:hAnsi="Times New Roman"/>
          <w:lang w:val="en-GB"/>
        </w:rPr>
        <w:t xml:space="preserve">net of the bid </w:t>
      </w:r>
      <w:r w:rsidR="005B2597">
        <w:rPr>
          <w:rFonts w:ascii="Times New Roman" w:hAnsi="Times New Roman"/>
          <w:lang w:val="en-GB"/>
        </w:rPr>
        <w:t>per cent</w:t>
      </w:r>
      <w:r w:rsidRPr="002229B8">
        <w:rPr>
          <w:rFonts w:ascii="Times New Roman" w:hAnsi="Times New Roman"/>
          <w:lang w:val="en-GB"/>
        </w:rPr>
        <w:t xml:space="preserve"> price reduction offered. </w:t>
      </w:r>
    </w:p>
    <w:p w14:paraId="235C7026" w14:textId="6B82DB8A" w:rsidR="00621417" w:rsidRPr="002229B8" w:rsidRDefault="00621417" w:rsidP="00621417">
      <w:pPr>
        <w:pStyle w:val="BodyText"/>
        <w:spacing w:before="240" w:after="240"/>
        <w:rPr>
          <w:rFonts w:ascii="Times New Roman" w:hAnsi="Times New Roman"/>
          <w:lang w:val="en-GB"/>
        </w:rPr>
      </w:pPr>
      <w:r w:rsidRPr="002229B8">
        <w:rPr>
          <w:rFonts w:ascii="Times New Roman" w:hAnsi="Times New Roman"/>
          <w:lang w:val="en-GB"/>
        </w:rPr>
        <w:t>In case of a failure to execute the service (even partially) caused by temporary impediments, the CA will reduce the fee due in proportion to the service not performed</w:t>
      </w:r>
      <w:r w:rsidR="00034BFA">
        <w:rPr>
          <w:rFonts w:ascii="Times New Roman" w:hAnsi="Times New Roman"/>
          <w:lang w:val="en-GB"/>
        </w:rPr>
        <w:t xml:space="preserve"> </w:t>
      </w:r>
      <w:r w:rsidRPr="002229B8">
        <w:rPr>
          <w:rFonts w:ascii="Times New Roman" w:hAnsi="Times New Roman"/>
          <w:lang w:val="en-GB"/>
        </w:rPr>
        <w:t>until the said impediment is overcome.</w:t>
      </w:r>
      <w:r w:rsidRPr="002229B8">
        <w:rPr>
          <w:rFonts w:ascii="Times New Roman" w:hAnsi="Times New Roman"/>
          <w:b/>
          <w:color w:val="C45911" w:themeColor="accent2" w:themeShade="BF"/>
          <w:sz w:val="32"/>
          <w:szCs w:val="32"/>
          <w:lang w:val="en-GB"/>
        </w:rPr>
        <w:t>]</w:t>
      </w:r>
      <w:r w:rsidRPr="002229B8">
        <w:rPr>
          <w:rFonts w:ascii="Times New Roman" w:hAnsi="Times New Roman"/>
          <w:lang w:val="en-GB"/>
        </w:rPr>
        <w:t xml:space="preserve"> </w:t>
      </w:r>
    </w:p>
    <w:p w14:paraId="2C4728FD" w14:textId="77777777" w:rsidR="00621417" w:rsidRPr="002229B8" w:rsidRDefault="00621417" w:rsidP="00621417">
      <w:pPr>
        <w:pStyle w:val="BodyText"/>
        <w:spacing w:before="240" w:after="240"/>
        <w:rPr>
          <w:rFonts w:ascii="Times New Roman" w:hAnsi="Times New Roman"/>
          <w:b/>
          <w:color w:val="C45911" w:themeColor="accent2" w:themeShade="BF"/>
          <w:lang w:val="en-GB"/>
        </w:rPr>
      </w:pPr>
      <w:r w:rsidRPr="002229B8">
        <w:rPr>
          <w:rFonts w:ascii="Times New Roman" w:hAnsi="Times New Roman"/>
          <w:b/>
          <w:color w:val="C45911" w:themeColor="accent2" w:themeShade="BF"/>
          <w:sz w:val="32"/>
          <w:szCs w:val="32"/>
          <w:lang w:val="en-GB"/>
        </w:rPr>
        <w:t>[</w:t>
      </w:r>
      <w:r w:rsidRPr="002229B8">
        <w:rPr>
          <w:rFonts w:ascii="Times New Roman" w:hAnsi="Times New Roman"/>
          <w:b/>
          <w:color w:val="C45911" w:themeColor="accent2" w:themeShade="BF"/>
          <w:lang w:val="en-GB"/>
        </w:rPr>
        <w:t>Insert only in case of “lump sum” basis accounting and for compensation of services linked to the accomplishment of milestones and/or deliverables (as per Article 4), respecting the deadlines set out in Article 5 - Timetable:</w:t>
      </w:r>
    </w:p>
    <w:p w14:paraId="40FC3AD1" w14:textId="77777777" w:rsidR="00621417" w:rsidRPr="002229B8" w:rsidRDefault="00621417" w:rsidP="00621417">
      <w:pPr>
        <w:pStyle w:val="BodyText"/>
        <w:spacing w:before="240" w:after="240"/>
        <w:rPr>
          <w:rFonts w:ascii="Times New Roman" w:hAnsi="Times New Roman"/>
          <w:lang w:val="en-GB"/>
        </w:rPr>
      </w:pPr>
      <w:r w:rsidRPr="002229B8">
        <w:rPr>
          <w:rFonts w:ascii="Times New Roman" w:hAnsi="Times New Roman"/>
          <w:lang w:val="en-GB"/>
        </w:rPr>
        <w:t>The amount of the service to be accounted for on a “</w:t>
      </w:r>
      <w:r w:rsidRPr="002229B8">
        <w:rPr>
          <w:rFonts w:ascii="Times New Roman" w:hAnsi="Times New Roman"/>
          <w:b/>
          <w:color w:val="000000" w:themeColor="text1"/>
          <w:lang w:val="en-GB"/>
        </w:rPr>
        <w:t>lump sum”</w:t>
      </w:r>
      <w:r w:rsidRPr="002229B8">
        <w:rPr>
          <w:rFonts w:ascii="Times New Roman" w:hAnsi="Times New Roman"/>
          <w:color w:val="000000" w:themeColor="text1"/>
          <w:lang w:val="en-GB"/>
        </w:rPr>
        <w:t xml:space="preserve"> </w:t>
      </w:r>
      <w:r w:rsidRPr="002229B8">
        <w:rPr>
          <w:rFonts w:ascii="Times New Roman" w:hAnsi="Times New Roman"/>
          <w:lang w:val="en-GB"/>
        </w:rPr>
        <w:t>basis will be compensated as per the following schedule:</w:t>
      </w:r>
    </w:p>
    <w:p w14:paraId="276933A7" w14:textId="77777777" w:rsidR="00621417" w:rsidRPr="002229B8" w:rsidRDefault="00621417" w:rsidP="00B17E1F">
      <w:pPr>
        <w:pStyle w:val="BodyText"/>
        <w:numPr>
          <w:ilvl w:val="0"/>
          <w:numId w:val="15"/>
        </w:numPr>
        <w:spacing w:before="240" w:after="240"/>
        <w:ind w:left="714" w:hanging="357"/>
        <w:contextualSpacing/>
        <w:rPr>
          <w:rFonts w:ascii="Times New Roman" w:hAnsi="Times New Roman"/>
          <w:lang w:val="en-GB"/>
        </w:rPr>
      </w:pPr>
      <w:r w:rsidRPr="002229B8">
        <w:rPr>
          <w:rFonts w:ascii="Times New Roman" w:hAnsi="Times New Roman"/>
          <w:color w:val="C45911" w:themeColor="accent2" w:themeShade="BF"/>
          <w:lang w:val="en-GB"/>
        </w:rPr>
        <w:t>[</w:t>
      </w:r>
      <w:r w:rsidRPr="002229B8">
        <w:rPr>
          <w:rFonts w:ascii="Times New Roman" w:hAnsi="Times New Roman"/>
          <w:i/>
          <w:iCs/>
          <w:color w:val="C45911" w:themeColor="accent2" w:themeShade="BF"/>
          <w:lang w:val="en-GB"/>
        </w:rPr>
        <w:t>indicate percentage</w:t>
      </w:r>
      <w:r w:rsidRPr="002229B8">
        <w:rPr>
          <w:rFonts w:ascii="Times New Roman" w:hAnsi="Times New Roman"/>
          <w:color w:val="C45911" w:themeColor="accent2" w:themeShade="BF"/>
          <w:lang w:val="en-GB"/>
        </w:rPr>
        <w:t>]</w:t>
      </w:r>
      <w:r w:rsidRPr="002229B8">
        <w:rPr>
          <w:rFonts w:ascii="Times New Roman" w:hAnsi="Times New Roman"/>
          <w:lang w:val="en-GB"/>
        </w:rPr>
        <w:t xml:space="preserve"> % of the amount upon completion of the phase of </w:t>
      </w:r>
      <w:r w:rsidRPr="002229B8">
        <w:rPr>
          <w:rFonts w:ascii="Times New Roman" w:hAnsi="Times New Roman"/>
          <w:color w:val="C45911" w:themeColor="accent2" w:themeShade="BF"/>
          <w:lang w:val="en-GB"/>
        </w:rPr>
        <w:t>[</w:t>
      </w:r>
      <w:r w:rsidRPr="002229B8">
        <w:rPr>
          <w:rFonts w:ascii="Times New Roman" w:hAnsi="Times New Roman"/>
          <w:i/>
          <w:iCs/>
          <w:color w:val="C45911" w:themeColor="accent2" w:themeShade="BF"/>
          <w:lang w:val="en-GB"/>
        </w:rPr>
        <w:t>indicate phase name, in accordance with Article 4</w:t>
      </w:r>
      <w:r w:rsidRPr="002229B8">
        <w:rPr>
          <w:rFonts w:ascii="Times New Roman" w:hAnsi="Times New Roman"/>
          <w:color w:val="C45911" w:themeColor="accent2" w:themeShade="BF"/>
          <w:lang w:val="en-GB"/>
        </w:rPr>
        <w:t>];</w:t>
      </w:r>
    </w:p>
    <w:p w14:paraId="09EF4B56" w14:textId="77777777" w:rsidR="00621417" w:rsidRPr="002229B8" w:rsidRDefault="00621417" w:rsidP="00B17E1F">
      <w:pPr>
        <w:pStyle w:val="BodyText"/>
        <w:numPr>
          <w:ilvl w:val="0"/>
          <w:numId w:val="15"/>
        </w:numPr>
        <w:spacing w:before="240" w:after="240"/>
        <w:ind w:left="714" w:hanging="357"/>
        <w:contextualSpacing/>
        <w:rPr>
          <w:rFonts w:ascii="Times New Roman" w:hAnsi="Times New Roman"/>
          <w:lang w:val="en-GB"/>
        </w:rPr>
      </w:pPr>
      <w:r w:rsidRPr="002229B8">
        <w:rPr>
          <w:rFonts w:ascii="Times New Roman" w:hAnsi="Times New Roman"/>
          <w:color w:val="C45911" w:themeColor="accent2" w:themeShade="BF"/>
          <w:lang w:val="en-GB"/>
        </w:rPr>
        <w:t>[</w:t>
      </w:r>
      <w:r w:rsidRPr="002229B8">
        <w:rPr>
          <w:rFonts w:ascii="Times New Roman" w:hAnsi="Times New Roman"/>
          <w:i/>
          <w:iCs/>
          <w:color w:val="C45911" w:themeColor="accent2" w:themeShade="BF"/>
          <w:lang w:val="en-GB"/>
        </w:rPr>
        <w:t>indicate percentage</w:t>
      </w:r>
      <w:r w:rsidRPr="002229B8">
        <w:rPr>
          <w:rFonts w:ascii="Times New Roman" w:hAnsi="Times New Roman"/>
          <w:color w:val="C45911" w:themeColor="accent2" w:themeShade="BF"/>
          <w:lang w:val="en-GB"/>
        </w:rPr>
        <w:t>]</w:t>
      </w:r>
      <w:r w:rsidRPr="002229B8">
        <w:rPr>
          <w:rFonts w:ascii="Times New Roman" w:hAnsi="Times New Roman"/>
          <w:lang w:val="en-GB"/>
        </w:rPr>
        <w:t xml:space="preserve"> % of the amount at the end of the phase of </w:t>
      </w:r>
      <w:r w:rsidRPr="002229B8">
        <w:rPr>
          <w:rFonts w:ascii="Times New Roman" w:hAnsi="Times New Roman"/>
          <w:color w:val="C45911" w:themeColor="accent2" w:themeShade="BF"/>
          <w:lang w:val="en-GB"/>
        </w:rPr>
        <w:t>[</w:t>
      </w:r>
      <w:r w:rsidRPr="002229B8">
        <w:rPr>
          <w:rFonts w:ascii="Times New Roman" w:hAnsi="Times New Roman"/>
          <w:i/>
          <w:iCs/>
          <w:color w:val="C45911" w:themeColor="accent2" w:themeShade="BF"/>
          <w:lang w:val="en-GB"/>
        </w:rPr>
        <w:t xml:space="preserve">indicate phase name, in </w:t>
      </w:r>
      <w:r w:rsidRPr="002229B8">
        <w:rPr>
          <w:rFonts w:ascii="Times New Roman" w:hAnsi="Times New Roman"/>
          <w:i/>
          <w:iCs/>
          <w:color w:val="C45911" w:themeColor="accent2" w:themeShade="BF"/>
          <w:lang w:val="en-GB"/>
        </w:rPr>
        <w:lastRenderedPageBreak/>
        <w:t>accordance with Article 4</w:t>
      </w:r>
      <w:r w:rsidRPr="002229B8">
        <w:rPr>
          <w:rFonts w:ascii="Times New Roman" w:hAnsi="Times New Roman"/>
          <w:color w:val="C45911" w:themeColor="accent2" w:themeShade="BF"/>
          <w:lang w:val="en-GB"/>
        </w:rPr>
        <w:t>];</w:t>
      </w:r>
    </w:p>
    <w:p w14:paraId="3C29E887" w14:textId="77777777" w:rsidR="00621417" w:rsidRPr="002229B8" w:rsidRDefault="00621417" w:rsidP="00B17E1F">
      <w:pPr>
        <w:pStyle w:val="BodyText"/>
        <w:numPr>
          <w:ilvl w:val="0"/>
          <w:numId w:val="15"/>
        </w:numPr>
        <w:spacing w:before="240" w:after="240"/>
        <w:rPr>
          <w:rFonts w:ascii="Times New Roman" w:hAnsi="Times New Roman"/>
          <w:lang w:val="en-GB"/>
        </w:rPr>
      </w:pPr>
      <w:r w:rsidRPr="002229B8">
        <w:rPr>
          <w:rFonts w:ascii="Times New Roman" w:hAnsi="Times New Roman"/>
          <w:color w:val="C45911" w:themeColor="accent2" w:themeShade="BF"/>
          <w:lang w:val="en-GB"/>
        </w:rPr>
        <w:t>[</w:t>
      </w:r>
      <w:r w:rsidRPr="002229B8">
        <w:rPr>
          <w:rFonts w:ascii="Times New Roman" w:hAnsi="Times New Roman"/>
          <w:i/>
          <w:iCs/>
          <w:color w:val="C45911" w:themeColor="accent2" w:themeShade="BF"/>
          <w:lang w:val="en-GB"/>
        </w:rPr>
        <w:t>indicate percentage</w:t>
      </w:r>
      <w:r w:rsidRPr="002229B8">
        <w:rPr>
          <w:rFonts w:ascii="Times New Roman" w:hAnsi="Times New Roman"/>
          <w:color w:val="C45911" w:themeColor="accent2" w:themeShade="BF"/>
          <w:lang w:val="en-GB"/>
        </w:rPr>
        <w:t>]</w:t>
      </w:r>
      <w:r w:rsidRPr="002229B8">
        <w:rPr>
          <w:rFonts w:ascii="Times New Roman" w:hAnsi="Times New Roman"/>
          <w:lang w:val="en-GB"/>
        </w:rPr>
        <w:t xml:space="preserve"> % of the amount at the end of the phase of </w:t>
      </w:r>
      <w:r w:rsidRPr="002229B8">
        <w:rPr>
          <w:rFonts w:ascii="Times New Roman" w:hAnsi="Times New Roman"/>
          <w:color w:val="C45911" w:themeColor="accent2" w:themeShade="BF"/>
          <w:lang w:val="en-GB"/>
        </w:rPr>
        <w:t>[</w:t>
      </w:r>
      <w:r w:rsidRPr="002229B8">
        <w:rPr>
          <w:rFonts w:ascii="Times New Roman" w:hAnsi="Times New Roman"/>
          <w:i/>
          <w:iCs/>
          <w:color w:val="C45911" w:themeColor="accent2" w:themeShade="BF"/>
          <w:lang w:val="en-GB"/>
        </w:rPr>
        <w:t>indicate phase name, in accordance with Article 4</w:t>
      </w:r>
      <w:r w:rsidRPr="002229B8">
        <w:rPr>
          <w:rFonts w:ascii="Times New Roman" w:hAnsi="Times New Roman"/>
          <w:color w:val="C45911" w:themeColor="accent2" w:themeShade="BF"/>
          <w:lang w:val="en-GB"/>
        </w:rPr>
        <w:t>].</w:t>
      </w:r>
      <w:r w:rsidRPr="002229B8">
        <w:rPr>
          <w:rFonts w:ascii="Times New Roman" w:hAnsi="Times New Roman"/>
          <w:b/>
          <w:bCs/>
          <w:color w:val="C45911" w:themeColor="accent2" w:themeShade="BF"/>
          <w:sz w:val="32"/>
          <w:szCs w:val="32"/>
          <w:lang w:val="en-GB"/>
        </w:rPr>
        <w:t>]</w:t>
      </w:r>
    </w:p>
    <w:p w14:paraId="2ECA450E" w14:textId="77777777" w:rsidR="00621417" w:rsidRPr="002229B8" w:rsidRDefault="00621417" w:rsidP="00621417">
      <w:pPr>
        <w:spacing w:before="240" w:beforeAutospacing="0" w:after="240" w:afterAutospacing="0"/>
        <w:rPr>
          <w:rFonts w:eastAsia="Arial"/>
          <w:noProof/>
          <w:lang w:eastAsia="en-US"/>
        </w:rPr>
      </w:pPr>
      <w:r w:rsidRPr="002229B8">
        <w:rPr>
          <w:rFonts w:eastAsia="Arial"/>
          <w:noProof/>
          <w:lang w:eastAsia="en-US"/>
        </w:rPr>
        <w:t>The accounting must be signed by the legal representative of the Company or by another duly appointed representative.</w:t>
      </w:r>
    </w:p>
    <w:p w14:paraId="20C804E7" w14:textId="3849015A" w:rsidR="00621417" w:rsidRPr="002229B8" w:rsidRDefault="00621417" w:rsidP="00621417">
      <w:pPr>
        <w:pStyle w:val="BodyText"/>
        <w:spacing w:before="240" w:after="240"/>
        <w:ind w:right="-24"/>
        <w:rPr>
          <w:rFonts w:ascii="Times New Roman" w:hAnsi="Times New Roman"/>
          <w:lang w:val="en-GB"/>
        </w:rPr>
      </w:pPr>
      <w:r w:rsidRPr="002229B8">
        <w:rPr>
          <w:rFonts w:ascii="Times New Roman" w:hAnsi="Times New Roman"/>
          <w:lang w:val="en-GB"/>
        </w:rPr>
        <w:t xml:space="preserve">The contractor is required to issue invoices as per the following terms. The invoices must always include the contract number, date and period of reference, as well as the contractor’s </w:t>
      </w:r>
      <w:r w:rsidRPr="002229B8">
        <w:rPr>
          <w:rFonts w:ascii="Times New Roman" w:hAnsi="Times New Roman"/>
          <w:color w:val="C45911" w:themeColor="accent2" w:themeShade="BF"/>
          <w:lang w:val="en-GB"/>
        </w:rPr>
        <w:t>[</w:t>
      </w:r>
      <w:r w:rsidRPr="002229B8">
        <w:rPr>
          <w:rFonts w:ascii="Times New Roman" w:hAnsi="Times New Roman"/>
          <w:i/>
          <w:iCs/>
          <w:color w:val="C45911" w:themeColor="accent2" w:themeShade="BF"/>
          <w:lang w:val="en-GB"/>
        </w:rPr>
        <w:t>in case of a joint tender, substitute the previous word with the following</w:t>
      </w:r>
      <w:r w:rsidRPr="002229B8">
        <w:rPr>
          <w:rFonts w:ascii="Times New Roman" w:hAnsi="Times New Roman"/>
          <w:i/>
          <w:color w:val="C45911" w:themeColor="accent2" w:themeShade="BF"/>
          <w:lang w:val="en-GB"/>
        </w:rPr>
        <w:t xml:space="preserve">: </w:t>
      </w:r>
      <w:r w:rsidRPr="002229B8">
        <w:rPr>
          <w:rFonts w:ascii="Times New Roman" w:hAnsi="Times New Roman"/>
          <w:lang w:val="en-GB"/>
        </w:rPr>
        <w:t>leader’s</w:t>
      </w:r>
      <w:r w:rsidRPr="002229B8">
        <w:rPr>
          <w:rFonts w:ascii="Times New Roman" w:hAnsi="Times New Roman"/>
          <w:color w:val="C45911" w:themeColor="accent2" w:themeShade="BF"/>
          <w:lang w:val="en-GB"/>
        </w:rPr>
        <w:t>]</w:t>
      </w:r>
      <w:r w:rsidRPr="002229B8">
        <w:rPr>
          <w:rFonts w:ascii="Times New Roman" w:hAnsi="Times New Roman"/>
          <w:lang w:val="en-GB"/>
        </w:rPr>
        <w:t xml:space="preserve"> Company identification details, amount, and currency.</w:t>
      </w:r>
    </w:p>
    <w:p w14:paraId="3470CB17" w14:textId="77777777" w:rsidR="00621417" w:rsidRPr="002229B8" w:rsidRDefault="00621417" w:rsidP="00621417">
      <w:pPr>
        <w:pStyle w:val="BodyText"/>
        <w:spacing w:before="240" w:after="240"/>
        <w:ind w:right="-24"/>
        <w:rPr>
          <w:rFonts w:ascii="Times New Roman" w:hAnsi="Times New Roman"/>
          <w:lang w:val="en-GB"/>
        </w:rPr>
      </w:pPr>
      <w:r w:rsidRPr="002229B8">
        <w:rPr>
          <w:rFonts w:ascii="Times New Roman" w:hAnsi="Times New Roman"/>
          <w:lang w:val="en-GB"/>
        </w:rPr>
        <w:t xml:space="preserve">The invoices must also state the contractor’s </w:t>
      </w:r>
      <w:r w:rsidRPr="002229B8">
        <w:rPr>
          <w:rFonts w:ascii="Times New Roman" w:hAnsi="Times New Roman"/>
          <w:color w:val="C45911" w:themeColor="accent2" w:themeShade="BF"/>
          <w:lang w:val="en-GB"/>
        </w:rPr>
        <w:t>[</w:t>
      </w:r>
      <w:r w:rsidRPr="002229B8">
        <w:rPr>
          <w:rFonts w:ascii="Times New Roman" w:hAnsi="Times New Roman"/>
          <w:i/>
          <w:iCs/>
          <w:color w:val="C45911" w:themeColor="accent2" w:themeShade="BF"/>
          <w:lang w:val="en-GB"/>
        </w:rPr>
        <w:t>in the case of a joint tender, substitute the previous word with the following</w:t>
      </w:r>
      <w:r w:rsidRPr="002229B8">
        <w:rPr>
          <w:rFonts w:ascii="Times New Roman" w:hAnsi="Times New Roman"/>
          <w:i/>
          <w:color w:val="C45911" w:themeColor="accent2" w:themeShade="BF"/>
          <w:lang w:val="en-GB"/>
        </w:rPr>
        <w:t>:</w:t>
      </w:r>
      <w:r w:rsidRPr="002229B8">
        <w:rPr>
          <w:rFonts w:ascii="Times New Roman" w:hAnsi="Times New Roman"/>
          <w:lang w:val="en-GB"/>
        </w:rPr>
        <w:t xml:space="preserve"> leader’s</w:t>
      </w:r>
      <w:r w:rsidRPr="002229B8">
        <w:rPr>
          <w:rFonts w:ascii="Times New Roman" w:hAnsi="Times New Roman"/>
          <w:color w:val="C45911" w:themeColor="accent2" w:themeShade="BF"/>
          <w:lang w:val="en-GB"/>
        </w:rPr>
        <w:t xml:space="preserve">] </w:t>
      </w:r>
      <w:r w:rsidRPr="002229B8">
        <w:rPr>
          <w:rFonts w:ascii="Times New Roman" w:hAnsi="Times New Roman"/>
          <w:lang w:val="en-GB"/>
        </w:rPr>
        <w:t xml:space="preserve">taxation state for VAT purposes. </w:t>
      </w:r>
    </w:p>
    <w:p w14:paraId="662BFB88" w14:textId="77777777" w:rsidR="00621417" w:rsidRPr="002229B8" w:rsidRDefault="00621417" w:rsidP="00621417">
      <w:pPr>
        <w:spacing w:before="240" w:beforeAutospacing="0" w:after="240" w:afterAutospacing="0"/>
        <w:rPr>
          <w:i/>
        </w:rPr>
      </w:pPr>
      <w:r w:rsidRPr="002229B8">
        <w:t xml:space="preserve">The invoices </w:t>
      </w:r>
      <w:r w:rsidRPr="002229B8">
        <w:rPr>
          <w:b/>
          <w:bCs/>
          <w:u w:val="single"/>
        </w:rPr>
        <w:t>must specify clearly and separately</w:t>
      </w:r>
      <w:r w:rsidRPr="002229B8">
        <w:t xml:space="preserve"> net of VAT amounts from VAT included amounts.</w:t>
      </w:r>
    </w:p>
    <w:p w14:paraId="405D89DE" w14:textId="77777777" w:rsidR="00621417" w:rsidRPr="002229B8" w:rsidRDefault="00621417" w:rsidP="00621417">
      <w:pPr>
        <w:spacing w:before="240" w:beforeAutospacing="0" w:after="240" w:afterAutospacing="0"/>
        <w:rPr>
          <w:i/>
          <w:u w:val="single"/>
        </w:rPr>
      </w:pPr>
      <w:r w:rsidRPr="002229B8">
        <w:rPr>
          <w:i/>
          <w:u w:val="single"/>
        </w:rPr>
        <w:t>In the case of entities not obliged to use electronic invoicing:</w:t>
      </w:r>
    </w:p>
    <w:p w14:paraId="5F7ECDFB" w14:textId="77777777" w:rsidR="00621417" w:rsidRPr="002229B8" w:rsidRDefault="00621417" w:rsidP="00621417">
      <w:pPr>
        <w:pStyle w:val="BodyText"/>
        <w:spacing w:before="240" w:after="240"/>
        <w:ind w:right="-24"/>
        <w:rPr>
          <w:rFonts w:ascii="Times New Roman" w:hAnsi="Times New Roman"/>
          <w:lang w:val="en-GB"/>
        </w:rPr>
      </w:pPr>
      <w:r w:rsidRPr="002229B8">
        <w:rPr>
          <w:rFonts w:ascii="Times New Roman" w:hAnsi="Times New Roman"/>
          <w:lang w:val="en-GB"/>
        </w:rPr>
        <w:t xml:space="preserve">The invoices must be sent to the CA at the following certified email address: </w:t>
      </w:r>
      <w:r w:rsidRPr="002229B8">
        <w:rPr>
          <w:rFonts w:ascii="Times New Roman" w:hAnsi="Times New Roman"/>
          <w:color w:val="C45911" w:themeColor="accent2" w:themeShade="BF"/>
          <w:lang w:val="en-GB"/>
        </w:rPr>
        <w:t>[</w:t>
      </w:r>
      <w:r w:rsidRPr="002229B8">
        <w:rPr>
          <w:rFonts w:ascii="Times New Roman" w:hAnsi="Times New Roman"/>
          <w:i/>
          <w:iCs/>
          <w:color w:val="C45911" w:themeColor="accent2" w:themeShade="BF"/>
          <w:lang w:val="en-GB"/>
        </w:rPr>
        <w:t>indicate email address</w:t>
      </w:r>
      <w:r w:rsidRPr="002229B8">
        <w:rPr>
          <w:rFonts w:ascii="Times New Roman" w:hAnsi="Times New Roman"/>
          <w:color w:val="C45911" w:themeColor="accent2" w:themeShade="BF"/>
          <w:lang w:val="en-GB"/>
        </w:rPr>
        <w:t>]</w:t>
      </w:r>
      <w:r w:rsidRPr="002229B8">
        <w:rPr>
          <w:rFonts w:ascii="Times New Roman" w:hAnsi="Times New Roman"/>
          <w:lang w:val="en-GB"/>
        </w:rPr>
        <w:t>.</w:t>
      </w:r>
    </w:p>
    <w:p w14:paraId="1EB10933" w14:textId="77777777" w:rsidR="00621417" w:rsidRPr="002229B8" w:rsidRDefault="00621417" w:rsidP="00621417">
      <w:pPr>
        <w:pStyle w:val="BodyText"/>
        <w:spacing w:before="240" w:after="240"/>
        <w:ind w:right="-24"/>
        <w:rPr>
          <w:rFonts w:ascii="Times New Roman" w:hAnsi="Times New Roman"/>
          <w:lang w:val="en-GB"/>
        </w:rPr>
      </w:pPr>
      <w:r w:rsidRPr="002229B8">
        <w:rPr>
          <w:rFonts w:ascii="Times New Roman" w:hAnsi="Times New Roman"/>
          <w:lang w:val="en-GB"/>
        </w:rPr>
        <w:t xml:space="preserve">Alternatively, invoices must be sent via ordinary mail to the following address: </w:t>
      </w:r>
      <w:r w:rsidRPr="002229B8">
        <w:rPr>
          <w:rFonts w:ascii="Times New Roman" w:hAnsi="Times New Roman"/>
          <w:color w:val="C45911" w:themeColor="accent2" w:themeShade="BF"/>
          <w:lang w:val="en-GB"/>
        </w:rPr>
        <w:t>[</w:t>
      </w:r>
      <w:r w:rsidRPr="002229B8">
        <w:rPr>
          <w:rFonts w:ascii="Times New Roman" w:hAnsi="Times New Roman"/>
          <w:i/>
          <w:iCs/>
          <w:color w:val="C45911" w:themeColor="accent2" w:themeShade="BF"/>
          <w:lang w:val="en-GB"/>
        </w:rPr>
        <w:t>indicate post address</w:t>
      </w:r>
      <w:r w:rsidRPr="002229B8">
        <w:rPr>
          <w:rFonts w:ascii="Times New Roman" w:hAnsi="Times New Roman"/>
          <w:color w:val="C45911" w:themeColor="accent2" w:themeShade="BF"/>
          <w:lang w:val="en-GB"/>
        </w:rPr>
        <w:t>]</w:t>
      </w:r>
      <w:r w:rsidRPr="002229B8">
        <w:rPr>
          <w:rFonts w:ascii="Times New Roman" w:hAnsi="Times New Roman"/>
          <w:lang w:val="en-GB"/>
        </w:rPr>
        <w:t>.</w:t>
      </w:r>
    </w:p>
    <w:p w14:paraId="08BABC67" w14:textId="63C5A512" w:rsidR="00621417" w:rsidRPr="002229B8" w:rsidRDefault="00621417" w:rsidP="00621417">
      <w:pPr>
        <w:pStyle w:val="BodyText"/>
        <w:spacing w:before="240" w:after="240"/>
        <w:ind w:right="-24"/>
        <w:rPr>
          <w:rFonts w:cs="Arial"/>
          <w:lang w:val="en-GB"/>
        </w:rPr>
      </w:pPr>
      <w:r w:rsidRPr="002229B8">
        <w:rPr>
          <w:rFonts w:ascii="Times New Roman" w:hAnsi="Times New Roman"/>
          <w:lang w:val="en-GB"/>
        </w:rPr>
        <w:t xml:space="preserve">The invoices must always include the contract number, date and period of reference, as well as the contractor’s </w:t>
      </w:r>
      <w:r w:rsidRPr="002229B8">
        <w:rPr>
          <w:rFonts w:ascii="Times New Roman" w:hAnsi="Times New Roman"/>
          <w:color w:val="C45911" w:themeColor="accent2" w:themeShade="BF"/>
          <w:lang w:val="en-GB"/>
        </w:rPr>
        <w:t>[</w:t>
      </w:r>
      <w:r w:rsidRPr="002229B8">
        <w:rPr>
          <w:rFonts w:ascii="Times New Roman" w:hAnsi="Times New Roman"/>
          <w:i/>
          <w:iCs/>
          <w:color w:val="C45911" w:themeColor="accent2" w:themeShade="BF"/>
          <w:lang w:val="en-GB"/>
        </w:rPr>
        <w:t>in the case of a joint tender, substitute the previous word with the following</w:t>
      </w:r>
      <w:r w:rsidRPr="002229B8">
        <w:rPr>
          <w:rFonts w:ascii="Times New Roman" w:hAnsi="Times New Roman"/>
          <w:i/>
          <w:color w:val="C45911" w:themeColor="accent2" w:themeShade="BF"/>
          <w:lang w:val="en-GB"/>
        </w:rPr>
        <w:t>:</w:t>
      </w:r>
      <w:r w:rsidRPr="002229B8">
        <w:rPr>
          <w:rFonts w:ascii="Times New Roman" w:hAnsi="Times New Roman"/>
          <w:lang w:val="en-GB"/>
        </w:rPr>
        <w:t xml:space="preserve"> leader’s</w:t>
      </w:r>
      <w:r w:rsidRPr="002229B8">
        <w:rPr>
          <w:rFonts w:ascii="Times New Roman" w:hAnsi="Times New Roman"/>
          <w:color w:val="C45911" w:themeColor="accent2" w:themeShade="BF"/>
          <w:lang w:val="en-GB"/>
        </w:rPr>
        <w:t>]</w:t>
      </w:r>
      <w:r w:rsidRPr="002229B8">
        <w:rPr>
          <w:rFonts w:ascii="Times New Roman" w:hAnsi="Times New Roman"/>
          <w:lang w:val="en-GB"/>
        </w:rPr>
        <w:t xml:space="preserve"> Company identification details, amount, and currency.</w:t>
      </w:r>
    </w:p>
    <w:p w14:paraId="7EDA6AD8" w14:textId="77777777" w:rsidR="00621417" w:rsidRPr="002229B8" w:rsidRDefault="00621417" w:rsidP="00621417">
      <w:pPr>
        <w:spacing w:before="240" w:beforeAutospacing="0" w:after="240" w:afterAutospacing="0"/>
        <w:rPr>
          <w:i/>
          <w:u w:val="single"/>
        </w:rPr>
      </w:pPr>
      <w:r w:rsidRPr="002229B8">
        <w:rPr>
          <w:i/>
          <w:u w:val="single"/>
        </w:rPr>
        <w:t>In the case of entities obliged to use electronic invoicing (e-invoicing):</w:t>
      </w:r>
    </w:p>
    <w:p w14:paraId="1C41DFD9" w14:textId="77777777" w:rsidR="00621417" w:rsidRPr="002229B8" w:rsidRDefault="00621417" w:rsidP="00621417">
      <w:pPr>
        <w:pStyle w:val="BodyText"/>
        <w:spacing w:before="240" w:after="240"/>
        <w:ind w:right="-24"/>
        <w:rPr>
          <w:rFonts w:ascii="Times New Roman" w:hAnsi="Times New Roman"/>
          <w:lang w:val="en-GB"/>
        </w:rPr>
      </w:pPr>
      <w:r w:rsidRPr="002229B8">
        <w:rPr>
          <w:rFonts w:ascii="Times New Roman" w:hAnsi="Times New Roman"/>
          <w:lang w:val="en-GB"/>
        </w:rPr>
        <w:t xml:space="preserve">The contractor </w:t>
      </w:r>
      <w:r w:rsidRPr="002229B8">
        <w:rPr>
          <w:rFonts w:ascii="Times New Roman" w:hAnsi="Times New Roman"/>
          <w:color w:val="C45911" w:themeColor="accent2" w:themeShade="BF"/>
          <w:lang w:val="en-GB"/>
        </w:rPr>
        <w:t>[</w:t>
      </w:r>
      <w:r w:rsidRPr="002229B8">
        <w:rPr>
          <w:rFonts w:ascii="Times New Roman" w:hAnsi="Times New Roman"/>
          <w:i/>
          <w:iCs/>
          <w:color w:val="C45911" w:themeColor="accent2" w:themeShade="BF"/>
          <w:lang w:val="en-GB"/>
        </w:rPr>
        <w:t>in the case of a joint tender, substitute the previous word with the following</w:t>
      </w:r>
      <w:r w:rsidRPr="002229B8">
        <w:rPr>
          <w:rFonts w:ascii="Times New Roman" w:hAnsi="Times New Roman"/>
          <w:i/>
          <w:color w:val="C45911" w:themeColor="accent2" w:themeShade="BF"/>
          <w:lang w:val="en-GB"/>
        </w:rPr>
        <w:t>:</w:t>
      </w:r>
      <w:r w:rsidRPr="002229B8">
        <w:rPr>
          <w:rFonts w:ascii="Times New Roman" w:hAnsi="Times New Roman"/>
          <w:lang w:val="en-GB"/>
        </w:rPr>
        <w:t xml:space="preserve"> leader</w:t>
      </w:r>
      <w:r w:rsidRPr="002229B8">
        <w:rPr>
          <w:rFonts w:ascii="Times New Roman" w:hAnsi="Times New Roman"/>
          <w:color w:val="C45911" w:themeColor="accent2" w:themeShade="BF"/>
          <w:lang w:val="en-GB"/>
        </w:rPr>
        <w:t>]</w:t>
      </w:r>
      <w:r w:rsidRPr="002229B8">
        <w:rPr>
          <w:rFonts w:ascii="Times New Roman" w:hAnsi="Times New Roman"/>
          <w:lang w:val="en-GB"/>
        </w:rPr>
        <w:t xml:space="preserve"> must submit invoices in electronic format using a qualified e-signature or electronic data interchange, fulfilling the conditions defined by Directive 2006/112/EC on VAT regarding electronic signature.</w:t>
      </w:r>
    </w:p>
    <w:p w14:paraId="26355995" w14:textId="77777777" w:rsidR="00621417" w:rsidRPr="002229B8" w:rsidRDefault="00621417" w:rsidP="00621417">
      <w:pPr>
        <w:pStyle w:val="BodyText"/>
        <w:spacing w:before="240" w:after="240"/>
        <w:ind w:right="-24"/>
        <w:rPr>
          <w:rFonts w:cs="Arial"/>
          <w:lang w:val="en-GB"/>
        </w:rPr>
      </w:pPr>
      <w:r w:rsidRPr="002229B8">
        <w:rPr>
          <w:rFonts w:ascii="Times New Roman" w:hAnsi="Times New Roman"/>
          <w:lang w:val="en-GB"/>
        </w:rPr>
        <w:t xml:space="preserve">Payments will be made </w:t>
      </w:r>
      <w:r w:rsidRPr="002229B8">
        <w:rPr>
          <w:rFonts w:ascii="Times New Roman" w:hAnsi="Times New Roman"/>
          <w:b/>
          <w:bCs/>
          <w:u w:val="single"/>
          <w:lang w:val="en-GB"/>
        </w:rPr>
        <w:t xml:space="preserve">within </w:t>
      </w:r>
      <w:r w:rsidRPr="002229B8">
        <w:rPr>
          <w:rFonts w:ascii="Times New Roman" w:hAnsi="Times New Roman"/>
          <w:b/>
          <w:bCs/>
          <w:color w:val="C45911" w:themeColor="accent2" w:themeShade="BF"/>
          <w:u w:val="single"/>
          <w:lang w:val="en-GB"/>
        </w:rPr>
        <w:t>30</w:t>
      </w:r>
      <w:r w:rsidRPr="002229B8">
        <w:rPr>
          <w:rFonts w:ascii="Times New Roman" w:hAnsi="Times New Roman"/>
          <w:b/>
          <w:bCs/>
          <w:color w:val="C45911" w:themeColor="accent2" w:themeShade="BF"/>
          <w:lang w:val="en-GB"/>
        </w:rPr>
        <w:t xml:space="preserve"> </w:t>
      </w:r>
      <w:r w:rsidRPr="002229B8">
        <w:rPr>
          <w:rFonts w:ascii="Times New Roman" w:hAnsi="Times New Roman"/>
          <w:color w:val="C45911" w:themeColor="accent2" w:themeShade="BF"/>
          <w:lang w:val="en-GB"/>
        </w:rPr>
        <w:t>[</w:t>
      </w:r>
      <w:r w:rsidRPr="002229B8">
        <w:rPr>
          <w:rFonts w:ascii="Times New Roman" w:hAnsi="Times New Roman"/>
          <w:i/>
          <w:iCs/>
          <w:color w:val="C45911" w:themeColor="accent2" w:themeShade="BF"/>
          <w:lang w:val="en-GB"/>
        </w:rPr>
        <w:t>or insert alternative payment terms</w:t>
      </w:r>
      <w:r w:rsidRPr="002229B8">
        <w:rPr>
          <w:rFonts w:ascii="Times New Roman" w:hAnsi="Times New Roman"/>
          <w:color w:val="C45911" w:themeColor="accent2" w:themeShade="BF"/>
          <w:lang w:val="en-GB"/>
        </w:rPr>
        <w:t>]</w:t>
      </w:r>
      <w:r w:rsidRPr="002229B8">
        <w:rPr>
          <w:color w:val="C45911" w:themeColor="accent2" w:themeShade="BF"/>
          <w:lang w:val="en-GB"/>
        </w:rPr>
        <w:t xml:space="preserve"> </w:t>
      </w:r>
      <w:r w:rsidRPr="002229B8">
        <w:rPr>
          <w:rFonts w:ascii="Times New Roman" w:hAnsi="Times New Roman"/>
          <w:b/>
          <w:bCs/>
          <w:u w:val="single"/>
          <w:lang w:val="en-GB"/>
        </w:rPr>
        <w:t>days from the date of receipt of each invoice.</w:t>
      </w:r>
      <w:r w:rsidRPr="002229B8">
        <w:rPr>
          <w:rFonts w:ascii="Times New Roman" w:hAnsi="Times New Roman"/>
          <w:b/>
          <w:u w:val="single"/>
          <w:lang w:val="en-GB"/>
        </w:rPr>
        <w:t xml:space="preserve"> </w:t>
      </w:r>
    </w:p>
    <w:p w14:paraId="2867D8E0" w14:textId="4FE48943" w:rsidR="007023D1" w:rsidRPr="002229B8" w:rsidRDefault="007023D1" w:rsidP="00B17E1F">
      <w:pPr>
        <w:pStyle w:val="Heading1"/>
        <w:numPr>
          <w:ilvl w:val="0"/>
          <w:numId w:val="2"/>
        </w:numPr>
        <w:ind w:left="567" w:hanging="567"/>
        <w:rPr>
          <w:rStyle w:val="Heading1Char"/>
          <w:b/>
          <w:bCs/>
        </w:rPr>
      </w:pPr>
      <w:bookmarkStart w:id="20" w:name="_Toc191487078"/>
      <w:r w:rsidRPr="002229B8">
        <w:rPr>
          <w:rStyle w:val="Heading1Char"/>
          <w:b/>
          <w:bCs/>
        </w:rPr>
        <w:t>Compliance checks and warranty</w:t>
      </w:r>
      <w:bookmarkEnd w:id="20"/>
    </w:p>
    <w:p w14:paraId="6945CEB0" w14:textId="1EBBD38B" w:rsidR="00216A53" w:rsidRPr="002229B8" w:rsidRDefault="00216A53" w:rsidP="00204123">
      <w:pPr>
        <w:spacing w:before="240" w:beforeAutospacing="0" w:after="240" w:afterAutospacing="0"/>
      </w:pPr>
      <w:r w:rsidRPr="002229B8">
        <w:t xml:space="preserve">The </w:t>
      </w:r>
      <w:r w:rsidR="000148AF" w:rsidRPr="002229B8">
        <w:t xml:space="preserve">middleware </w:t>
      </w:r>
      <w:r w:rsidRPr="002229B8">
        <w:t xml:space="preserve">software </w:t>
      </w:r>
      <w:r w:rsidR="000148AF" w:rsidRPr="002229B8">
        <w:t xml:space="preserve">applications </w:t>
      </w:r>
      <w:r w:rsidRPr="002229B8">
        <w:t xml:space="preserve">subject </w:t>
      </w:r>
      <w:r w:rsidR="0007120D">
        <w:t>to</w:t>
      </w:r>
      <w:r w:rsidRPr="002229B8">
        <w:t xml:space="preserve"> these Technical Specifications are bound to pass a thorough testing and acceptance procedure, shared with the CA, before the final acceptance of the applications and their release into production.</w:t>
      </w:r>
    </w:p>
    <w:p w14:paraId="361724E8" w14:textId="77777777" w:rsidR="00216A53" w:rsidRPr="002229B8" w:rsidRDefault="00216A53" w:rsidP="00204123">
      <w:pPr>
        <w:spacing w:before="240" w:beforeAutospacing="0" w:after="240" w:afterAutospacing="0"/>
      </w:pPr>
      <w:r w:rsidRPr="002229B8">
        <w:lastRenderedPageBreak/>
        <w:t>The testing shall be performed in a dedicated test environment, made available on a hosting basis by the contractor, which shall be identical to the production environment.</w:t>
      </w:r>
    </w:p>
    <w:p w14:paraId="30EFB27F" w14:textId="26AF4E25" w:rsidR="00216A53" w:rsidRPr="002229B8" w:rsidRDefault="00216A53" w:rsidP="00204123">
      <w:pPr>
        <w:spacing w:before="240" w:beforeAutospacing="0" w:after="240" w:afterAutospacing="0"/>
      </w:pPr>
      <w:r w:rsidRPr="002229B8">
        <w:t>Any future changes to the system (corrective, enhancements and/or improvements) must also be subject to prior testing before their actual release into production.</w:t>
      </w:r>
    </w:p>
    <w:p w14:paraId="769F8049" w14:textId="77777777" w:rsidR="00216A53" w:rsidRPr="002229B8" w:rsidRDefault="00216A53" w:rsidP="00204123">
      <w:pPr>
        <w:spacing w:before="240" w:beforeAutospacing="0" w:after="240" w:afterAutospacing="0"/>
      </w:pPr>
      <w:r w:rsidRPr="002229B8">
        <w:t>In the case of the contractor’s non-compliance related to the release into production of features, changes that were not shared and/or that did not successfully pass the testing procedures, the CA reserves the right to evaluate the application of penalties in accordance with the contract terms.</w:t>
      </w:r>
    </w:p>
    <w:p w14:paraId="5B7CB794" w14:textId="77777777" w:rsidR="00DB6EA2" w:rsidRPr="00AC20C9" w:rsidRDefault="00DB6EA2" w:rsidP="00DB6EA2">
      <w:pPr>
        <w:spacing w:after="240" w:afterAutospacing="0"/>
        <w:contextualSpacing/>
      </w:pPr>
      <w:r w:rsidRPr="00AC20C9">
        <w:t>The testing of the applications will be divided into the following phases:</w:t>
      </w:r>
    </w:p>
    <w:p w14:paraId="66343BEF" w14:textId="075B9AF2" w:rsidR="007023D1" w:rsidRPr="00AC20C9" w:rsidRDefault="00A80DC5" w:rsidP="00B17E1F">
      <w:pPr>
        <w:pStyle w:val="ListParagraph"/>
        <w:numPr>
          <w:ilvl w:val="0"/>
          <w:numId w:val="6"/>
        </w:numPr>
        <w:spacing w:after="240" w:afterAutospacing="0"/>
        <w:contextualSpacing/>
      </w:pPr>
      <w:r w:rsidRPr="00AC20C9">
        <w:t xml:space="preserve">Middleware software applications </w:t>
      </w:r>
      <w:r w:rsidR="007023D1" w:rsidRPr="00AC20C9">
        <w:t>testing;</w:t>
      </w:r>
    </w:p>
    <w:p w14:paraId="7CEC231A" w14:textId="6053F05B" w:rsidR="007023D1" w:rsidRPr="00AC20C9" w:rsidRDefault="007023D1" w:rsidP="00B17E1F">
      <w:pPr>
        <w:pStyle w:val="ListParagraph"/>
        <w:numPr>
          <w:ilvl w:val="0"/>
          <w:numId w:val="6"/>
        </w:numPr>
        <w:spacing w:after="240" w:afterAutospacing="0"/>
        <w:contextualSpacing/>
      </w:pPr>
      <w:r w:rsidRPr="00AC20C9">
        <w:t>Acceptance ;</w:t>
      </w:r>
    </w:p>
    <w:p w14:paraId="0A0B9023" w14:textId="75784CE8" w:rsidR="007023D1" w:rsidRPr="00AC20C9" w:rsidRDefault="007023D1" w:rsidP="00B17E1F">
      <w:pPr>
        <w:pStyle w:val="ListParagraph"/>
        <w:numPr>
          <w:ilvl w:val="0"/>
          <w:numId w:val="6"/>
        </w:numPr>
        <w:spacing w:after="240" w:afterAutospacing="0"/>
        <w:contextualSpacing/>
      </w:pPr>
      <w:r w:rsidRPr="00AC20C9">
        <w:t>Definitive testing.</w:t>
      </w:r>
    </w:p>
    <w:p w14:paraId="78A55392" w14:textId="516F0ED0" w:rsidR="007023D1" w:rsidRPr="002229B8" w:rsidRDefault="007023D1" w:rsidP="007023D1">
      <w:pPr>
        <w:spacing w:after="240" w:afterAutospacing="0"/>
      </w:pPr>
      <w:r w:rsidRPr="002229B8">
        <w:t>The contractor bears all costs related to the above checks.</w:t>
      </w:r>
    </w:p>
    <w:p w14:paraId="79840577" w14:textId="20681F42" w:rsidR="007023D1" w:rsidRPr="002229B8" w:rsidRDefault="007023D1" w:rsidP="007023D1">
      <w:pPr>
        <w:spacing w:after="240" w:afterAutospacing="0"/>
      </w:pPr>
      <w:r w:rsidRPr="002229B8">
        <w:t>The CA will communicate to the contractor the complete list of testing documents to be submitted.</w:t>
      </w:r>
    </w:p>
    <w:p w14:paraId="58D2A921" w14:textId="5583FAF8" w:rsidR="007023D1" w:rsidRPr="002229B8" w:rsidRDefault="007023D1" w:rsidP="007023D1">
      <w:pPr>
        <w:spacing w:after="240" w:afterAutospacing="0"/>
      </w:pPr>
      <w:r w:rsidRPr="002229B8">
        <w:t>Each test will be the subject of a report drawn up in cross-examination.</w:t>
      </w:r>
    </w:p>
    <w:p w14:paraId="24AF3D6B" w14:textId="433FEDAF" w:rsidR="007023D1" w:rsidRPr="002229B8" w:rsidRDefault="007023D1" w:rsidP="00B17E1F">
      <w:pPr>
        <w:pStyle w:val="ListParagraph"/>
        <w:numPr>
          <w:ilvl w:val="1"/>
          <w:numId w:val="4"/>
        </w:numPr>
        <w:spacing w:after="240" w:afterAutospacing="0"/>
        <w:rPr>
          <w:b/>
        </w:rPr>
      </w:pPr>
      <w:r w:rsidRPr="002229B8">
        <w:rPr>
          <w:b/>
        </w:rPr>
        <w:t>Sub-contracted goods</w:t>
      </w:r>
    </w:p>
    <w:p w14:paraId="71D3F0F5" w14:textId="230B718C" w:rsidR="007023D1" w:rsidRPr="002229B8" w:rsidRDefault="007023D1" w:rsidP="007023D1">
      <w:pPr>
        <w:spacing w:after="240" w:afterAutospacing="0"/>
      </w:pPr>
      <w:r w:rsidRPr="002229B8">
        <w:t>The contractor must submit a declaration on the conformity and adequacy of the subsystems and components provided by its subcontractors in relation to the Technical Specifications, assuming full responsibility for such aspects.</w:t>
      </w:r>
    </w:p>
    <w:p w14:paraId="6ACFE4F5" w14:textId="137A6B75" w:rsidR="007023D1" w:rsidRPr="002229B8" w:rsidRDefault="007023D1" w:rsidP="00B17E1F">
      <w:pPr>
        <w:pStyle w:val="ListParagraph"/>
        <w:numPr>
          <w:ilvl w:val="1"/>
          <w:numId w:val="4"/>
        </w:numPr>
        <w:spacing w:after="240" w:afterAutospacing="0"/>
        <w:rPr>
          <w:b/>
        </w:rPr>
      </w:pPr>
      <w:r w:rsidRPr="002229B8">
        <w:rPr>
          <w:b/>
        </w:rPr>
        <w:t xml:space="preserve">Acceptance </w:t>
      </w:r>
    </w:p>
    <w:p w14:paraId="4F8243D3" w14:textId="77777777" w:rsidR="00A15893" w:rsidRPr="002229B8" w:rsidRDefault="00A15893" w:rsidP="00A15893">
      <w:pPr>
        <w:spacing w:before="240" w:beforeAutospacing="0" w:after="240" w:afterAutospacing="0"/>
        <w:contextualSpacing/>
      </w:pPr>
      <w:r w:rsidRPr="002229B8">
        <w:t>In order to consider a positive outcome for the acceptance testing, all the following conditions will have to have been verified:</w:t>
      </w:r>
    </w:p>
    <w:p w14:paraId="5370D6D5" w14:textId="064C0D6A" w:rsidR="00A15893" w:rsidRPr="002229B8" w:rsidRDefault="00A15893" w:rsidP="00B17E1F">
      <w:pPr>
        <w:pStyle w:val="ListParagraph"/>
        <w:numPr>
          <w:ilvl w:val="0"/>
          <w:numId w:val="7"/>
        </w:numPr>
        <w:spacing w:before="240" w:beforeAutospacing="0" w:after="240" w:afterAutospacing="0"/>
        <w:contextualSpacing/>
      </w:pPr>
      <w:r w:rsidRPr="002229B8">
        <w:t>positive outcome of the “</w:t>
      </w:r>
      <w:r w:rsidR="00E80B48" w:rsidRPr="002229B8">
        <w:t xml:space="preserve">middleware software applications </w:t>
      </w:r>
      <w:r w:rsidRPr="002229B8">
        <w:t>testing”;</w:t>
      </w:r>
    </w:p>
    <w:p w14:paraId="2AEE99C6" w14:textId="77777777" w:rsidR="00A15893" w:rsidRPr="002229B8" w:rsidRDefault="00A15893" w:rsidP="00B17E1F">
      <w:pPr>
        <w:pStyle w:val="ListParagraph"/>
        <w:numPr>
          <w:ilvl w:val="0"/>
          <w:numId w:val="7"/>
        </w:numPr>
        <w:spacing w:before="240" w:beforeAutospacing="0" w:after="240" w:afterAutospacing="0"/>
        <w:contextualSpacing/>
      </w:pPr>
      <w:r w:rsidRPr="002229B8">
        <w:t>delivery of all the technical, administrative and accounting documentation required for reporting purposes.</w:t>
      </w:r>
    </w:p>
    <w:p w14:paraId="1E8E0617" w14:textId="77777777" w:rsidR="00A15893" w:rsidRPr="002229B8" w:rsidRDefault="00A15893" w:rsidP="00A15893">
      <w:pPr>
        <w:spacing w:before="240" w:beforeAutospacing="0" w:after="240" w:afterAutospacing="0"/>
        <w:contextualSpacing/>
      </w:pPr>
      <w:r w:rsidRPr="002229B8">
        <w:t xml:space="preserve">The outcome of the acceptance testing must be formalised with an </w:t>
      </w:r>
      <w:r w:rsidRPr="002229B8">
        <w:rPr>
          <w:i/>
        </w:rPr>
        <w:t xml:space="preserve">ad hoc </w:t>
      </w:r>
      <w:r w:rsidRPr="002229B8">
        <w:t>report jointly signed by the parties, also known as the acceptance testing certificate.</w:t>
      </w:r>
    </w:p>
    <w:p w14:paraId="432021EF" w14:textId="788AB69B" w:rsidR="007023D1" w:rsidRPr="002229B8" w:rsidRDefault="007023D1" w:rsidP="00B17E1F">
      <w:pPr>
        <w:pStyle w:val="ListParagraph"/>
        <w:numPr>
          <w:ilvl w:val="1"/>
          <w:numId w:val="4"/>
        </w:numPr>
        <w:spacing w:after="240" w:afterAutospacing="0"/>
        <w:rPr>
          <w:b/>
        </w:rPr>
      </w:pPr>
      <w:r w:rsidRPr="002229B8">
        <w:rPr>
          <w:b/>
        </w:rPr>
        <w:t>Results and checks</w:t>
      </w:r>
    </w:p>
    <w:p w14:paraId="53CB84AD" w14:textId="264155E5" w:rsidR="0074507F" w:rsidRPr="002229B8" w:rsidRDefault="0074507F" w:rsidP="0074507F">
      <w:pPr>
        <w:pStyle w:val="Default"/>
        <w:spacing w:before="240" w:after="240"/>
        <w:contextualSpacing/>
        <w:jc w:val="both"/>
        <w:rPr>
          <w:rFonts w:ascii="Times New Roman" w:eastAsia="Times New Roman" w:hAnsi="Times New Roman" w:cs="Times New Roman"/>
          <w:color w:val="auto"/>
          <w:lang w:val="en-GB" w:eastAsia="en-GB"/>
        </w:rPr>
      </w:pPr>
      <w:r w:rsidRPr="002229B8">
        <w:rPr>
          <w:rFonts w:ascii="Times New Roman" w:eastAsia="Times New Roman" w:hAnsi="Times New Roman" w:cs="Times New Roman"/>
          <w:color w:val="auto"/>
          <w:lang w:val="en-GB" w:eastAsia="en-GB"/>
        </w:rPr>
        <w:t xml:space="preserve">If </w:t>
      </w:r>
      <w:r w:rsidR="0007120D">
        <w:rPr>
          <w:rFonts w:ascii="Times New Roman" w:eastAsia="Times New Roman" w:hAnsi="Times New Roman" w:cs="Times New Roman"/>
          <w:color w:val="auto"/>
          <w:lang w:val="en-GB" w:eastAsia="en-GB"/>
        </w:rPr>
        <w:t>non-compliance</w:t>
      </w:r>
      <w:r w:rsidRPr="002229B8">
        <w:rPr>
          <w:rFonts w:ascii="Times New Roman" w:eastAsia="Times New Roman" w:hAnsi="Times New Roman" w:cs="Times New Roman"/>
          <w:color w:val="auto"/>
          <w:lang w:val="en-GB" w:eastAsia="en-GB"/>
        </w:rPr>
        <w:t xml:space="preserve"> or discrepancies with respect to the contractual provisions are found during ongoing and final compliance checks, the CM will send the contractor a written invitation for regularisation within an assigned term without prejudice to the contractor’s right to submit any written observations.</w:t>
      </w:r>
    </w:p>
    <w:p w14:paraId="41ADC7B9" w14:textId="77777777" w:rsidR="0074507F" w:rsidRPr="002229B8" w:rsidRDefault="0074507F" w:rsidP="0074507F">
      <w:pPr>
        <w:spacing w:before="240" w:beforeAutospacing="0" w:after="240" w:afterAutospacing="0"/>
        <w:contextualSpacing/>
      </w:pPr>
      <w:r w:rsidRPr="002229B8">
        <w:lastRenderedPageBreak/>
        <w:t>The obligation to respect the assigned regularisation compliance term is not suspended by the submission of observations.</w:t>
      </w:r>
    </w:p>
    <w:p w14:paraId="42D3ED1B" w14:textId="77777777" w:rsidR="0074507F" w:rsidRPr="002229B8" w:rsidRDefault="0074507F" w:rsidP="0074507F">
      <w:pPr>
        <w:spacing w:before="240" w:beforeAutospacing="0" w:after="240" w:afterAutospacing="0"/>
        <w:contextualSpacing/>
      </w:pPr>
      <w:r w:rsidRPr="002229B8">
        <w:t>The CM will then communicate the outcome of the examination of any observations presented by the contractor, validating the latter’s acceptance or confirming the violation for the effects of Article 10.</w:t>
      </w:r>
    </w:p>
    <w:p w14:paraId="1B72F593" w14:textId="49634435" w:rsidR="007023D1" w:rsidRPr="002229B8" w:rsidRDefault="00D67761" w:rsidP="00B17E1F">
      <w:pPr>
        <w:pStyle w:val="ListParagraph"/>
        <w:numPr>
          <w:ilvl w:val="1"/>
          <w:numId w:val="4"/>
        </w:numPr>
        <w:spacing w:after="240" w:afterAutospacing="0"/>
        <w:rPr>
          <w:b/>
        </w:rPr>
      </w:pPr>
      <w:r w:rsidRPr="002229B8">
        <w:rPr>
          <w:b/>
        </w:rPr>
        <w:t>Service</w:t>
      </w:r>
      <w:r w:rsidR="007023D1" w:rsidRPr="002229B8">
        <w:rPr>
          <w:b/>
        </w:rPr>
        <w:t xml:space="preserve"> Warranty</w:t>
      </w:r>
    </w:p>
    <w:p w14:paraId="0B6FA7A8" w14:textId="7D8EC4E1" w:rsidR="000D53EA" w:rsidRPr="002229B8" w:rsidRDefault="000D53EA" w:rsidP="000D53EA">
      <w:pPr>
        <w:spacing w:before="240" w:beforeAutospacing="0" w:after="240" w:afterAutospacing="0"/>
        <w:contextualSpacing/>
      </w:pPr>
      <w:bookmarkStart w:id="21" w:name="_Toc180154464"/>
      <w:r w:rsidRPr="002229B8">
        <w:t xml:space="preserve">The </w:t>
      </w:r>
      <w:r w:rsidR="000C790F" w:rsidRPr="002229B8">
        <w:t xml:space="preserve">middleware </w:t>
      </w:r>
      <w:r w:rsidR="004025F1" w:rsidRPr="002229B8">
        <w:t xml:space="preserve">software </w:t>
      </w:r>
      <w:r w:rsidR="000C790F" w:rsidRPr="002229B8">
        <w:t xml:space="preserve">applications </w:t>
      </w:r>
      <w:r w:rsidRPr="002229B8">
        <w:t xml:space="preserve">defined in the Technical Specifications will be covered by a service warranty for a minimum period of 12 months </w:t>
      </w:r>
      <w:r w:rsidRPr="002229B8">
        <w:rPr>
          <w:color w:val="C45911" w:themeColor="accent2" w:themeShade="BF"/>
        </w:rPr>
        <w:t>[</w:t>
      </w:r>
      <w:r w:rsidRPr="002229B8">
        <w:rPr>
          <w:i/>
          <w:color w:val="C45911" w:themeColor="accent2" w:themeShade="BF"/>
        </w:rPr>
        <w:t>or insert alternative duration</w:t>
      </w:r>
      <w:r w:rsidRPr="002229B8">
        <w:rPr>
          <w:color w:val="C45911" w:themeColor="accent2" w:themeShade="BF"/>
        </w:rPr>
        <w:t xml:space="preserve">] </w:t>
      </w:r>
      <w:r w:rsidRPr="002229B8">
        <w:t xml:space="preserve">from the date of the acceptance testing certificate with a positive outcome issued by the CA, without prejudice to any longer warranties envisaged by existing legislation. </w:t>
      </w:r>
      <w:r w:rsidRPr="002229B8">
        <w:rPr>
          <w:color w:val="0000FF"/>
        </w:rPr>
        <w:t>[Include any additional warranties as per relevant applicable national legislation.]</w:t>
      </w:r>
      <w:r w:rsidRPr="002229B8">
        <w:t xml:space="preserve"> </w:t>
      </w:r>
    </w:p>
    <w:p w14:paraId="557F9D30" w14:textId="2A3DD07D" w:rsidR="000D53EA" w:rsidRPr="002229B8" w:rsidRDefault="000D53EA" w:rsidP="000D53EA">
      <w:pPr>
        <w:pStyle w:val="Default"/>
        <w:spacing w:before="240" w:after="240"/>
        <w:contextualSpacing/>
        <w:jc w:val="both"/>
        <w:rPr>
          <w:rFonts w:ascii="Times New Roman" w:hAnsi="Times New Roman" w:cs="Times New Roman"/>
          <w:lang w:val="en-GB"/>
        </w:rPr>
      </w:pPr>
      <w:r w:rsidRPr="002229B8">
        <w:rPr>
          <w:rFonts w:ascii="Times New Roman" w:hAnsi="Times New Roman" w:cs="Times New Roman"/>
          <w:lang w:val="en-GB"/>
        </w:rPr>
        <w:t xml:space="preserve">Throughout the warranty period, the contractor must perform maintenance, interventions, and/or adjustments, without any cost </w:t>
      </w:r>
      <w:r w:rsidR="0007120D">
        <w:rPr>
          <w:rFonts w:ascii="Times New Roman" w:hAnsi="Times New Roman" w:cs="Times New Roman"/>
          <w:lang w:val="en-GB"/>
        </w:rPr>
        <w:t>to</w:t>
      </w:r>
      <w:r w:rsidRPr="002229B8">
        <w:rPr>
          <w:rFonts w:ascii="Times New Roman" w:hAnsi="Times New Roman" w:cs="Times New Roman"/>
          <w:lang w:val="en-GB"/>
        </w:rPr>
        <w:t xml:space="preserve"> the CA, to eliminate any non-compliance with the technical and functional requirements described herein. </w:t>
      </w:r>
    </w:p>
    <w:p w14:paraId="1BBE2D61" w14:textId="77777777" w:rsidR="000D53EA" w:rsidRPr="002229B8" w:rsidRDefault="000D53EA" w:rsidP="000D53EA">
      <w:pPr>
        <w:pStyle w:val="BodyText"/>
        <w:spacing w:before="240" w:after="240"/>
        <w:rPr>
          <w:rFonts w:ascii="Times New Roman" w:eastAsia="Times New Roman" w:hAnsi="Times New Roman"/>
          <w:lang w:val="en-GB" w:eastAsia="en-GB"/>
        </w:rPr>
      </w:pPr>
      <w:r w:rsidRPr="002229B8">
        <w:rPr>
          <w:rFonts w:ascii="Times New Roman" w:eastAsia="Times New Roman" w:hAnsi="Times New Roman"/>
          <w:lang w:val="en-GB" w:eastAsia="en-GB"/>
        </w:rPr>
        <w:t>In the event of a delay in starting the interventions under warranty, or unjustified extensions of such interventions with respect to the agreed terms, the CA may, at its discretion, proceed directly with their execution and charge the related costs to the contractor in default. In such cases, the CA reserves the right to request compensation for damages suffered due to the prolonged interruption of activity.</w:t>
      </w:r>
    </w:p>
    <w:p w14:paraId="687CB9C2" w14:textId="77777777" w:rsidR="006602D5" w:rsidRPr="002229B8" w:rsidRDefault="006602D5" w:rsidP="00B17E1F">
      <w:pPr>
        <w:pStyle w:val="Heading1"/>
        <w:numPr>
          <w:ilvl w:val="0"/>
          <w:numId w:val="2"/>
        </w:numPr>
        <w:ind w:left="567" w:hanging="567"/>
        <w:rPr>
          <w:rStyle w:val="Heading1Char"/>
          <w:b/>
          <w:bCs/>
        </w:rPr>
      </w:pPr>
      <w:bookmarkStart w:id="22" w:name="_Toc191487079"/>
      <w:r w:rsidRPr="002229B8">
        <w:rPr>
          <w:rStyle w:val="Heading1Char"/>
          <w:b/>
          <w:bCs/>
        </w:rPr>
        <w:t>Technical support and maintenance services</w:t>
      </w:r>
      <w:bookmarkEnd w:id="21"/>
      <w:bookmarkEnd w:id="22"/>
    </w:p>
    <w:p w14:paraId="13EF437C" w14:textId="435CC680" w:rsidR="006602D5" w:rsidRPr="002229B8" w:rsidRDefault="006602D5" w:rsidP="006602D5">
      <w:pPr>
        <w:pStyle w:val="BodyText"/>
        <w:spacing w:before="240" w:after="240"/>
        <w:rPr>
          <w:rFonts w:ascii="Times New Roman" w:eastAsia="Times New Roman" w:hAnsi="Times New Roman"/>
          <w:lang w:val="en-GB" w:eastAsia="en-GB"/>
        </w:rPr>
      </w:pPr>
      <w:r w:rsidRPr="002229B8">
        <w:rPr>
          <w:rFonts w:ascii="Times New Roman" w:eastAsia="Times New Roman" w:hAnsi="Times New Roman"/>
          <w:lang w:val="en-GB" w:eastAsia="en-GB"/>
        </w:rPr>
        <w:t xml:space="preserve">The contractor is required to ensure, throughout the contract period, maintenance and technical support services of the </w:t>
      </w:r>
      <w:r w:rsidR="00131612" w:rsidRPr="002229B8">
        <w:rPr>
          <w:rFonts w:ascii="Times New Roman" w:eastAsia="Times New Roman" w:hAnsi="Times New Roman"/>
          <w:lang w:val="en-GB" w:eastAsia="en-GB"/>
        </w:rPr>
        <w:t xml:space="preserve">developed </w:t>
      </w:r>
      <w:r w:rsidRPr="002229B8">
        <w:rPr>
          <w:rFonts w:ascii="Times New Roman" w:eastAsia="Times New Roman" w:hAnsi="Times New Roman"/>
          <w:lang w:val="en-GB" w:eastAsia="en-GB"/>
        </w:rPr>
        <w:t>applications, in order to ensure business continuity of services.</w:t>
      </w:r>
    </w:p>
    <w:p w14:paraId="5CFCB720" w14:textId="008788D1" w:rsidR="006602D5" w:rsidRPr="002229B8" w:rsidRDefault="006602D5" w:rsidP="006602D5">
      <w:pPr>
        <w:pStyle w:val="BodyText"/>
        <w:spacing w:before="240" w:after="240"/>
        <w:rPr>
          <w:rFonts w:ascii="Times New Roman" w:eastAsia="Times New Roman" w:hAnsi="Times New Roman"/>
          <w:lang w:val="en-GB" w:eastAsia="en-GB"/>
        </w:rPr>
      </w:pPr>
      <w:r w:rsidRPr="002229B8">
        <w:rPr>
          <w:rFonts w:ascii="Times New Roman" w:eastAsia="Times New Roman" w:hAnsi="Times New Roman"/>
          <w:lang w:val="en-GB" w:eastAsia="en-GB"/>
        </w:rPr>
        <w:t>Any business closures of the contractor must be communicated to CA in advance and</w:t>
      </w:r>
      <w:r w:rsidR="00BC182B">
        <w:rPr>
          <w:rFonts w:ascii="Times New Roman" w:eastAsia="Times New Roman" w:hAnsi="Times New Roman"/>
          <w:lang w:val="en-GB" w:eastAsia="en-GB"/>
        </w:rPr>
        <w:t>, in any case,</w:t>
      </w:r>
      <w:r w:rsidRPr="002229B8">
        <w:rPr>
          <w:rFonts w:ascii="Times New Roman" w:eastAsia="Times New Roman" w:hAnsi="Times New Roman"/>
          <w:lang w:val="en-GB" w:eastAsia="en-GB"/>
        </w:rPr>
        <w:t xml:space="preserve"> must not affect regular business operations.</w:t>
      </w:r>
    </w:p>
    <w:p w14:paraId="660A209D" w14:textId="77777777" w:rsidR="006602D5" w:rsidRPr="002229B8" w:rsidRDefault="006602D5" w:rsidP="00B17E1F">
      <w:pPr>
        <w:pStyle w:val="Heading2"/>
        <w:keepLines/>
        <w:numPr>
          <w:ilvl w:val="1"/>
          <w:numId w:val="2"/>
        </w:numPr>
        <w:spacing w:before="100" w:beforeAutospacing="1"/>
        <w:ind w:left="936" w:hanging="576"/>
        <w:rPr>
          <w:rFonts w:eastAsiaTheme="majorEastAsia" w:cstheme="majorBidi"/>
        </w:rPr>
      </w:pPr>
      <w:bookmarkStart w:id="23" w:name="_Toc180154465"/>
      <w:bookmarkStart w:id="24" w:name="_Toc191487080"/>
      <w:r w:rsidRPr="002229B8">
        <w:rPr>
          <w:rFonts w:eastAsiaTheme="majorEastAsia" w:cstheme="majorBidi"/>
          <w:u w:val="none"/>
        </w:rPr>
        <w:t>Corrective maintenance and technical support services</w:t>
      </w:r>
      <w:bookmarkEnd w:id="23"/>
      <w:bookmarkEnd w:id="24"/>
    </w:p>
    <w:p w14:paraId="2D9206A5" w14:textId="72C6EFD1" w:rsidR="006602D5" w:rsidRPr="002229B8" w:rsidRDefault="006602D5" w:rsidP="006602D5">
      <w:pPr>
        <w:spacing w:before="240" w:beforeAutospacing="0" w:after="240" w:afterAutospacing="0"/>
      </w:pPr>
      <w:r w:rsidRPr="002229B8">
        <w:t>Contract performance management is disciplined in the following Article 9 of the Technical Specifications</w:t>
      </w:r>
      <w:r w:rsidR="00BC182B">
        <w:t xml:space="preserve">, in which the quality indicators and required SLAs of the service itself are detailed and must thus be considered as a </w:t>
      </w:r>
      <w:r w:rsidRPr="002229B8">
        <w:t>reference for a comprehensive description of the contract objectives.</w:t>
      </w:r>
    </w:p>
    <w:p w14:paraId="5615B916" w14:textId="77777777" w:rsidR="006602D5" w:rsidRPr="002229B8" w:rsidRDefault="006602D5" w:rsidP="006602D5">
      <w:pPr>
        <w:spacing w:before="240" w:beforeAutospacing="0" w:after="240" w:afterAutospacing="0"/>
      </w:pPr>
      <w:r w:rsidRPr="002229B8">
        <w:t>In general, the software corrective maintenance service includes:</w:t>
      </w:r>
    </w:p>
    <w:p w14:paraId="1A6A7655" w14:textId="64CA2032" w:rsidR="006602D5" w:rsidRPr="002229B8" w:rsidRDefault="006602D5" w:rsidP="00B17E1F">
      <w:pPr>
        <w:pStyle w:val="ListParagraph"/>
        <w:numPr>
          <w:ilvl w:val="0"/>
          <w:numId w:val="10"/>
        </w:numPr>
        <w:spacing w:before="240" w:beforeAutospacing="0" w:after="240" w:afterAutospacing="0"/>
        <w:contextualSpacing/>
      </w:pPr>
      <w:r w:rsidRPr="002229B8">
        <w:t>the correction of software product defects that have emerged as a result of any malfunctions detected during operation or independently identified by the contractor;</w:t>
      </w:r>
    </w:p>
    <w:p w14:paraId="014A5F98" w14:textId="77777777" w:rsidR="006602D5" w:rsidRPr="002229B8" w:rsidRDefault="006602D5" w:rsidP="00B17E1F">
      <w:pPr>
        <w:pStyle w:val="ListParagraph"/>
        <w:numPr>
          <w:ilvl w:val="0"/>
          <w:numId w:val="10"/>
        </w:numPr>
        <w:spacing w:before="240" w:beforeAutospacing="0" w:after="240" w:afterAutospacing="0"/>
      </w:pPr>
      <w:r w:rsidRPr="002229B8">
        <w:t>new product releases.</w:t>
      </w:r>
    </w:p>
    <w:p w14:paraId="1D41ECFD" w14:textId="471B36F7" w:rsidR="006602D5" w:rsidRPr="002229B8" w:rsidRDefault="006602D5" w:rsidP="006602D5">
      <w:pPr>
        <w:spacing w:before="240" w:beforeAutospacing="0" w:after="240" w:afterAutospacing="0"/>
      </w:pPr>
      <w:r w:rsidRPr="002229B8">
        <w:t xml:space="preserve">The identification and correction of any malfunctions must be extended to all existing applications software, as well as its subsequent corrective and enhancement changes, excluding potential </w:t>
      </w:r>
      <w:r w:rsidRPr="002229B8">
        <w:lastRenderedPageBreak/>
        <w:t>functional and non-functional regressions that may impact the functionalities and performance of the application in production.</w:t>
      </w:r>
    </w:p>
    <w:p w14:paraId="052D642E" w14:textId="77777777" w:rsidR="006602D5" w:rsidRPr="002229B8" w:rsidRDefault="006602D5" w:rsidP="006602D5">
      <w:pPr>
        <w:spacing w:before="240" w:beforeAutospacing="0" w:after="240" w:afterAutospacing="0"/>
      </w:pPr>
      <w:r w:rsidRPr="002229B8">
        <w:t>The technical support service includes:</w:t>
      </w:r>
    </w:p>
    <w:p w14:paraId="3968F584" w14:textId="357791A5" w:rsidR="006602D5" w:rsidRPr="002229B8" w:rsidRDefault="006602D5" w:rsidP="00B17E1F">
      <w:pPr>
        <w:pStyle w:val="ListParagraph"/>
        <w:numPr>
          <w:ilvl w:val="0"/>
          <w:numId w:val="10"/>
        </w:numPr>
        <w:spacing w:before="240" w:beforeAutospacing="0" w:after="240" w:afterAutospacing="0"/>
        <w:contextualSpacing/>
      </w:pPr>
      <w:r w:rsidRPr="002229B8">
        <w:t xml:space="preserve">a </w:t>
      </w:r>
      <w:r w:rsidR="00BC182B">
        <w:t xml:space="preserve">second-level help desk IT support service that can be activated directly by the CA’s designated office </w:t>
      </w:r>
      <w:r w:rsidR="00BC182B" w:rsidRPr="003A4052">
        <w:rPr>
          <w:color w:val="C45911" w:themeColor="accent2" w:themeShade="BF"/>
        </w:rPr>
        <w:t>[</w:t>
      </w:r>
      <w:r w:rsidR="00BC182B" w:rsidRPr="003A4052">
        <w:rPr>
          <w:i/>
          <w:iCs/>
          <w:color w:val="C45911" w:themeColor="accent2" w:themeShade="BF"/>
        </w:rPr>
        <w:t>insert the following phrase only if applicable:</w:t>
      </w:r>
      <w:r w:rsidR="00BC182B">
        <w:t xml:space="preserve"> or by the CA’s first-level</w:t>
      </w:r>
      <w:r w:rsidRPr="002229B8">
        <w:t xml:space="preserve"> help desk IT support services</w:t>
      </w:r>
      <w:r w:rsidRPr="002229B8">
        <w:rPr>
          <w:rFonts w:eastAsia="Arial"/>
          <w:noProof/>
          <w:color w:val="C45911" w:themeColor="accent2" w:themeShade="BF"/>
          <w:lang w:eastAsia="en-US"/>
        </w:rPr>
        <w:t>]</w:t>
      </w:r>
      <w:r w:rsidRPr="002229B8">
        <w:t>; such a service may be requested either following malfunctions or for operational support activities.</w:t>
      </w:r>
    </w:p>
    <w:p w14:paraId="0A9F9F03" w14:textId="77777777" w:rsidR="006602D5" w:rsidRPr="002229B8" w:rsidRDefault="006602D5" w:rsidP="00B17E1F">
      <w:pPr>
        <w:pStyle w:val="ListParagraph"/>
        <w:numPr>
          <w:ilvl w:val="0"/>
          <w:numId w:val="10"/>
        </w:numPr>
        <w:spacing w:before="240" w:beforeAutospacing="0" w:after="240" w:afterAutospacing="0"/>
      </w:pPr>
      <w:r w:rsidRPr="002229B8">
        <w:t>The service must be ensured as per the SLA schedule described in the following Article 9.</w:t>
      </w:r>
    </w:p>
    <w:p w14:paraId="28A3EDFD" w14:textId="77777777" w:rsidR="006602D5" w:rsidRPr="002229B8" w:rsidRDefault="006602D5" w:rsidP="006602D5">
      <w:pPr>
        <w:spacing w:before="240" w:beforeAutospacing="0" w:after="240" w:afterAutospacing="0"/>
      </w:pPr>
      <w:r w:rsidRPr="002229B8">
        <w:t>The contractor shall provide the CA with adequate and clear operative instructions regarding the activation of the service.</w:t>
      </w:r>
    </w:p>
    <w:p w14:paraId="33EDC9B8" w14:textId="7F8A8518" w:rsidR="006602D5" w:rsidRPr="002229B8" w:rsidRDefault="006602D5" w:rsidP="006602D5">
      <w:pPr>
        <w:spacing w:before="240" w:beforeAutospacing="0" w:after="240" w:afterAutospacing="0"/>
      </w:pPr>
      <w:r w:rsidRPr="002229B8">
        <w:t xml:space="preserve">In the case of activation of the second level support service, the contractor must commit to </w:t>
      </w:r>
      <w:r w:rsidR="00FD15D4">
        <w:t>informing the CA of all phases of the support requests handling (reception and taking charge, resolution, completion)</w:t>
      </w:r>
      <w:r w:rsidRPr="002229B8">
        <w:t xml:space="preserve"> through a ticketing management system.</w:t>
      </w:r>
    </w:p>
    <w:p w14:paraId="44606445" w14:textId="77777777" w:rsidR="006602D5" w:rsidRPr="002229B8" w:rsidRDefault="006602D5" w:rsidP="006602D5">
      <w:pPr>
        <w:spacing w:before="240" w:beforeAutospacing="0" w:after="240" w:afterAutospacing="0"/>
      </w:pPr>
      <w:r w:rsidRPr="002229B8">
        <w:t>The software corrective maintenance and technical support services are also applied in the same terms to integrations made with other systems.</w:t>
      </w:r>
    </w:p>
    <w:p w14:paraId="40F38F65" w14:textId="77777777" w:rsidR="006602D5" w:rsidRPr="002229B8" w:rsidRDefault="006602D5" w:rsidP="00B17E1F">
      <w:pPr>
        <w:pStyle w:val="Heading2"/>
        <w:keepLines/>
        <w:numPr>
          <w:ilvl w:val="1"/>
          <w:numId w:val="2"/>
        </w:numPr>
        <w:spacing w:before="100" w:beforeAutospacing="1"/>
        <w:ind w:left="936" w:hanging="576"/>
        <w:rPr>
          <w:rFonts w:eastAsiaTheme="majorEastAsia" w:cstheme="majorBidi"/>
        </w:rPr>
      </w:pPr>
      <w:bookmarkStart w:id="25" w:name="_Toc180154466"/>
      <w:bookmarkStart w:id="26" w:name="_Toc191487081"/>
      <w:r w:rsidRPr="002229B8">
        <w:rPr>
          <w:rFonts w:eastAsiaTheme="majorEastAsia" w:cstheme="majorBidi"/>
          <w:u w:val="none"/>
        </w:rPr>
        <w:t>Regulatory compliance maintenance services</w:t>
      </w:r>
      <w:bookmarkEnd w:id="25"/>
      <w:bookmarkEnd w:id="26"/>
    </w:p>
    <w:p w14:paraId="5AD0F7D9" w14:textId="07EEE92D" w:rsidR="006602D5" w:rsidRPr="002229B8" w:rsidRDefault="006602D5" w:rsidP="006602D5">
      <w:pPr>
        <w:spacing w:before="240" w:beforeAutospacing="0" w:after="240" w:afterAutospacing="0"/>
      </w:pPr>
      <w:r w:rsidRPr="002229B8">
        <w:t xml:space="preserve">Throughout the duration of the contract, the contractor will commit to </w:t>
      </w:r>
      <w:r w:rsidR="00FD15D4">
        <w:t>providing</w:t>
      </w:r>
      <w:r w:rsidRPr="002229B8">
        <w:t xml:space="preserve"> (at no additional cost for the CA) software application updates in order to ensure compliance with the relevant, evolving legislative and regulatory dispositions deriving from the dedicated governmental bodies for matters concerning the different type of data managed by the applications object of this contract.</w:t>
      </w:r>
    </w:p>
    <w:p w14:paraId="1DC117BA" w14:textId="77777777" w:rsidR="006602D5" w:rsidRPr="002229B8" w:rsidRDefault="006602D5" w:rsidP="006602D5">
      <w:pPr>
        <w:spacing w:before="240" w:beforeAutospacing="0" w:after="240" w:afterAutospacing="0"/>
      </w:pPr>
      <w:r w:rsidRPr="002229B8">
        <w:t xml:space="preserve">Application update activities shall include modifications, updates and/or enhancements of </w:t>
      </w:r>
      <w:r w:rsidRPr="002229B8">
        <w:rPr>
          <w:b/>
          <w:bCs/>
        </w:rPr>
        <w:t>existing</w:t>
      </w:r>
      <w:r w:rsidRPr="002229B8">
        <w:t xml:space="preserve"> functionalities managed within the application(s) in use. Conversely, any regulatory compliance maintenance activity that should require the implementation of completely new functionalities shall be considered as an enhancement maintenance activity type, and thus regulated as per the following Article 8.3.</w:t>
      </w:r>
    </w:p>
    <w:p w14:paraId="13B7F086" w14:textId="77777777" w:rsidR="006602D5" w:rsidRPr="002229B8" w:rsidRDefault="006602D5" w:rsidP="006602D5">
      <w:pPr>
        <w:spacing w:before="240" w:beforeAutospacing="0" w:after="240" w:afterAutospacing="0"/>
      </w:pPr>
      <w:r w:rsidRPr="002229B8">
        <w:t xml:space="preserve">The intervention schedule will be established with the contractor on a case-by-case basis, taking into account the specific regulatory update, and in any case not beyond the maximum limit of </w:t>
      </w:r>
      <w:r w:rsidRPr="002229B8">
        <w:rPr>
          <w:rFonts w:eastAsia="Arial"/>
          <w:noProof/>
          <w:color w:val="C45911" w:themeColor="accent2" w:themeShade="BF"/>
          <w:lang w:eastAsia="en-US"/>
        </w:rPr>
        <w:t>[</w:t>
      </w:r>
      <w:r w:rsidRPr="002229B8">
        <w:rPr>
          <w:rFonts w:eastAsia="Arial"/>
          <w:i/>
          <w:iCs/>
          <w:noProof/>
          <w:color w:val="C45911" w:themeColor="accent2" w:themeShade="BF"/>
          <w:lang w:eastAsia="en-US"/>
        </w:rPr>
        <w:t>indicate number of days</w:t>
      </w:r>
      <w:r w:rsidRPr="002229B8">
        <w:rPr>
          <w:rFonts w:eastAsia="Arial"/>
          <w:noProof/>
          <w:color w:val="C45911" w:themeColor="accent2" w:themeShade="BF"/>
          <w:lang w:eastAsia="en-US"/>
        </w:rPr>
        <w:t xml:space="preserve">] </w:t>
      </w:r>
      <w:r w:rsidRPr="002229B8">
        <w:rPr>
          <w:rFonts w:eastAsia="Arial"/>
          <w:lang w:eastAsia="en-US"/>
        </w:rPr>
        <w:t>working days from the request date or within the implementation deadline set by the legislative/regulatory provision object of the update.</w:t>
      </w:r>
    </w:p>
    <w:p w14:paraId="1292EFC4" w14:textId="49AA8509" w:rsidR="006602D5" w:rsidRPr="002229B8" w:rsidRDefault="006602D5" w:rsidP="006602D5">
      <w:pPr>
        <w:spacing w:before="240" w:beforeAutospacing="0" w:after="240" w:afterAutospacing="0"/>
      </w:pPr>
      <w:r w:rsidRPr="002229B8">
        <w:t>After entering into production, a change or new feature resulting from regulatory compliance maintenance services</w:t>
      </w:r>
      <w:r w:rsidR="00FD15D4">
        <w:t xml:space="preserve"> becomes an integral part of the application software. Hence,</w:t>
      </w:r>
      <w:r w:rsidRPr="002229B8">
        <w:t xml:space="preserve"> all dispositions envisaged under the contract shall apply to it.</w:t>
      </w:r>
    </w:p>
    <w:p w14:paraId="2A04F6B0" w14:textId="77777777" w:rsidR="006602D5" w:rsidRPr="002229B8" w:rsidRDefault="006602D5" w:rsidP="006602D5">
      <w:r w:rsidRPr="002229B8">
        <w:t>The regulatory compliance maintenance services are also applied in the same terms to integrations made with other systems.</w:t>
      </w:r>
    </w:p>
    <w:p w14:paraId="1B789887" w14:textId="77777777" w:rsidR="006602D5" w:rsidRPr="002229B8" w:rsidRDefault="006602D5" w:rsidP="00B17E1F">
      <w:pPr>
        <w:pStyle w:val="Heading2"/>
        <w:keepLines/>
        <w:numPr>
          <w:ilvl w:val="1"/>
          <w:numId w:val="2"/>
        </w:numPr>
        <w:spacing w:before="100" w:beforeAutospacing="1"/>
        <w:ind w:left="936" w:hanging="576"/>
        <w:rPr>
          <w:rFonts w:eastAsiaTheme="majorEastAsia" w:cstheme="majorBidi"/>
        </w:rPr>
      </w:pPr>
      <w:bookmarkStart w:id="27" w:name="_Toc180154467"/>
      <w:bookmarkStart w:id="28" w:name="_Toc191487082"/>
      <w:r w:rsidRPr="002229B8">
        <w:rPr>
          <w:rFonts w:eastAsiaTheme="majorEastAsia" w:cstheme="majorBidi"/>
          <w:u w:val="none"/>
        </w:rPr>
        <w:lastRenderedPageBreak/>
        <w:t>Enhancement maintenance services</w:t>
      </w:r>
      <w:bookmarkEnd w:id="27"/>
      <w:bookmarkEnd w:id="28"/>
    </w:p>
    <w:p w14:paraId="7C803DAB" w14:textId="77777777" w:rsidR="006602D5" w:rsidRPr="002229B8" w:rsidRDefault="006602D5" w:rsidP="006602D5">
      <w:pPr>
        <w:spacing w:before="240" w:beforeAutospacing="0" w:after="240" w:afterAutospacing="0"/>
      </w:pPr>
      <w:r w:rsidRPr="002229B8">
        <w:t xml:space="preserve">As enhancement interventions cannot be pre-determined by requirements comprised under the tender documentation, the execution of such activities entails preliminary needs analyses, quotation of services, planning of interventions, implementation and related testing. </w:t>
      </w:r>
    </w:p>
    <w:p w14:paraId="5ECAC606" w14:textId="77777777" w:rsidR="006602D5" w:rsidRPr="002229B8" w:rsidRDefault="006602D5" w:rsidP="006602D5">
      <w:pPr>
        <w:spacing w:before="240" w:beforeAutospacing="0" w:after="240" w:afterAutospacing="0"/>
      </w:pPr>
      <w:r w:rsidRPr="002229B8">
        <w:t>All phases of the above process will be outlined and established with the CA.</w:t>
      </w:r>
    </w:p>
    <w:p w14:paraId="241BCC97" w14:textId="6D3FD7B3" w:rsidR="006602D5" w:rsidRPr="002229B8" w:rsidRDefault="006602D5" w:rsidP="006602D5">
      <w:pPr>
        <w:spacing w:before="240" w:beforeAutospacing="0" w:after="240" w:afterAutospacing="0"/>
      </w:pPr>
      <w:r w:rsidRPr="002229B8">
        <w:t>In order to perform</w:t>
      </w:r>
      <w:r w:rsidR="005059EB" w:rsidRPr="002229B8">
        <w:t xml:space="preserve"> the development</w:t>
      </w:r>
      <w:r w:rsidR="006400BC" w:rsidRPr="002229B8">
        <w:t xml:space="preserve"> of</w:t>
      </w:r>
      <w:r w:rsidRPr="002229B8">
        <w:t xml:space="preserve"> such enhancement intervention services, the CA will request the contractor to provide a quotation consisting of a bundle of days and related professional profile rates, to be utilised on a “per-measure” basis.</w:t>
      </w:r>
    </w:p>
    <w:p w14:paraId="598492B9" w14:textId="77777777" w:rsidR="006602D5" w:rsidRPr="002229B8" w:rsidRDefault="006602D5" w:rsidP="006602D5">
      <w:pPr>
        <w:spacing w:before="240" w:beforeAutospacing="0" w:after="240" w:afterAutospacing="0"/>
      </w:pPr>
      <w:r w:rsidRPr="002229B8">
        <w:t>Following the positive outcome of the acceptance testing (as per previous Article 7) and after entering into production, any enhancement upgrade or new feature becomes an integral part of the application software; hence, all dispositions envisaged under the contract shall apply to it.</w:t>
      </w:r>
    </w:p>
    <w:p w14:paraId="4DFDA331" w14:textId="77777777" w:rsidR="006602D5" w:rsidRPr="002229B8" w:rsidRDefault="006602D5" w:rsidP="006602D5">
      <w:pPr>
        <w:spacing w:before="240" w:beforeAutospacing="0" w:after="360" w:afterAutospacing="0"/>
      </w:pPr>
      <w:r w:rsidRPr="002229B8">
        <w:t>Moreover, when implementing enhancements, the contractor will be responsible for ensuring the alignment of all technical and operational documentation of the relevant system(s).</w:t>
      </w:r>
    </w:p>
    <w:p w14:paraId="166A5C6E" w14:textId="77777777" w:rsidR="006602D5" w:rsidRPr="002229B8" w:rsidRDefault="006602D5" w:rsidP="006602D5">
      <w:pPr>
        <w:spacing w:before="120" w:beforeAutospacing="0" w:after="120" w:afterAutospacing="0"/>
        <w:rPr>
          <w:b/>
          <w:color w:val="000000" w:themeColor="text1"/>
        </w:rPr>
      </w:pPr>
      <w:r w:rsidRPr="002229B8">
        <w:rPr>
          <w:b/>
          <w:color w:val="000000" w:themeColor="text1"/>
        </w:rPr>
        <w:t>IPR over upgrades resulting from enhancement maintenance services:</w:t>
      </w:r>
    </w:p>
    <w:p w14:paraId="0968A255" w14:textId="2DBE7CC4" w:rsidR="006602D5" w:rsidRPr="002229B8" w:rsidRDefault="006602D5" w:rsidP="006602D5">
      <w:pPr>
        <w:spacing w:before="120" w:beforeAutospacing="0" w:after="240" w:afterAutospacing="0"/>
        <w:rPr>
          <w:b/>
          <w:color w:val="C45911" w:themeColor="accent2" w:themeShade="BF"/>
          <w:sz w:val="28"/>
          <w:szCs w:val="28"/>
        </w:rPr>
      </w:pPr>
      <w:r w:rsidRPr="002229B8">
        <w:rPr>
          <w:bCs/>
        </w:rPr>
        <w:t xml:space="preserve">All software applications </w:t>
      </w:r>
      <w:r w:rsidR="00D42E1B" w:rsidRPr="002229B8">
        <w:rPr>
          <w:bCs/>
        </w:rPr>
        <w:t xml:space="preserve">developed </w:t>
      </w:r>
      <w:r w:rsidRPr="002229B8">
        <w:rPr>
          <w:bCs/>
        </w:rPr>
        <w:t>on behalf of the CA (source code)</w:t>
      </w:r>
      <w:r w:rsidR="00FD15D4">
        <w:rPr>
          <w:bCs/>
        </w:rPr>
        <w:t>,</w:t>
      </w:r>
      <w:r w:rsidRPr="002229B8">
        <w:rPr>
          <w:bCs/>
        </w:rPr>
        <w:t xml:space="preserve"> including related enhancements introduced by the contractor throughout the contract term, along with all technical and operations documentation produced, shall be intended as the intellectual property of the CA, which will have the right to re-deploy </w:t>
      </w:r>
      <w:r w:rsidR="00926668" w:rsidRPr="002229B8">
        <w:rPr>
          <w:bCs/>
        </w:rPr>
        <w:t xml:space="preserve">all developed </w:t>
      </w:r>
      <w:r w:rsidRPr="002229B8">
        <w:rPr>
          <w:bCs/>
        </w:rPr>
        <w:t xml:space="preserve">software to </w:t>
      </w:r>
      <w:r w:rsidRPr="002229B8">
        <w:rPr>
          <w:color w:val="C45911" w:themeColor="accent2" w:themeShade="BF"/>
        </w:rPr>
        <w:t>[</w:t>
      </w:r>
      <w:r w:rsidRPr="002229B8">
        <w:rPr>
          <w:i/>
          <w:color w:val="C45911" w:themeColor="accent2" w:themeShade="BF"/>
        </w:rPr>
        <w:t>insert applicable entities</w:t>
      </w:r>
      <w:r w:rsidRPr="002229B8">
        <w:rPr>
          <w:color w:val="C45911" w:themeColor="accent2" w:themeShade="BF"/>
        </w:rPr>
        <w:t xml:space="preserve">] </w:t>
      </w:r>
      <w:r w:rsidRPr="002229B8">
        <w:rPr>
          <w:bCs/>
        </w:rPr>
        <w:t>that may request it.</w:t>
      </w:r>
    </w:p>
    <w:p w14:paraId="0E285D77" w14:textId="77777777" w:rsidR="006602D5" w:rsidRPr="002229B8" w:rsidRDefault="006602D5" w:rsidP="00B17E1F">
      <w:pPr>
        <w:pStyle w:val="Heading1"/>
        <w:numPr>
          <w:ilvl w:val="0"/>
          <w:numId w:val="2"/>
        </w:numPr>
        <w:ind w:left="567" w:hanging="567"/>
        <w:rPr>
          <w:rStyle w:val="Heading1Char"/>
          <w:b/>
          <w:bCs/>
        </w:rPr>
      </w:pPr>
      <w:bookmarkStart w:id="29" w:name="_Toc180154468"/>
      <w:bookmarkStart w:id="30" w:name="_Toc191487083"/>
      <w:r w:rsidRPr="002229B8">
        <w:rPr>
          <w:rStyle w:val="Heading1Char"/>
          <w:b/>
          <w:bCs/>
        </w:rPr>
        <w:t>Required SLAs and metrics criteria</w:t>
      </w:r>
      <w:bookmarkEnd w:id="29"/>
      <w:bookmarkEnd w:id="30"/>
    </w:p>
    <w:p w14:paraId="3D9655C1" w14:textId="6DE066B5" w:rsidR="006602D5" w:rsidRPr="002229B8" w:rsidRDefault="006602D5" w:rsidP="006602D5">
      <w:pPr>
        <w:spacing w:before="240" w:beforeAutospacing="0" w:after="240" w:afterAutospacing="0"/>
      </w:pPr>
      <w:r w:rsidRPr="002229B8">
        <w:t xml:space="preserve">The purpose of SLAs established for this call for tenders is to specify the minimum requirements of </w:t>
      </w:r>
      <w:r w:rsidR="00C863FD" w:rsidRPr="002229B8">
        <w:t xml:space="preserve">middleware </w:t>
      </w:r>
      <w:r w:rsidR="004F4B91" w:rsidRPr="002229B8">
        <w:t xml:space="preserve">software </w:t>
      </w:r>
      <w:r w:rsidR="002A7E0D" w:rsidRPr="002229B8">
        <w:t>applications and</w:t>
      </w:r>
      <w:r w:rsidRPr="002229B8">
        <w:t xml:space="preserve"> related </w:t>
      </w:r>
      <w:r w:rsidR="00223DF2" w:rsidRPr="002229B8">
        <w:t xml:space="preserve">development and </w:t>
      </w:r>
      <w:r w:rsidRPr="002229B8">
        <w:t>maintenance services, as defined in the Technical Specifications.</w:t>
      </w:r>
    </w:p>
    <w:p w14:paraId="4B649771" w14:textId="77777777" w:rsidR="006602D5" w:rsidRPr="002229B8" w:rsidRDefault="006602D5" w:rsidP="006602D5">
      <w:pPr>
        <w:spacing w:before="240" w:beforeAutospacing="0" w:after="240" w:afterAutospacing="0"/>
      </w:pPr>
      <w:r w:rsidRPr="002229B8">
        <w:t>Specifically, contract performance management is regulated within the Technical Specifications in which the quality indicators and SLAs of the services under this contract are outlined.</w:t>
      </w:r>
    </w:p>
    <w:p w14:paraId="6D12AB15" w14:textId="77777777" w:rsidR="006602D5" w:rsidRPr="002229B8" w:rsidRDefault="006602D5" w:rsidP="006602D5">
      <w:pPr>
        <w:spacing w:before="240" w:beforeAutospacing="0" w:after="240" w:afterAutospacing="0"/>
      </w:pPr>
      <w:r w:rsidRPr="002229B8">
        <w:t>Given the impact that these applications have on the CA's operations, an important assessment aspect is the quality of service provided to users of the system, with particular emphasis on troubleshooting timing in relation to problems, anomalies, and/or defects that may arise during operations. The contractor is required to ensure the maintenance and technical support service as per the following schedule:</w:t>
      </w:r>
    </w:p>
    <w:tbl>
      <w:tblPr>
        <w:tblStyle w:val="TableGrid"/>
        <w:tblW w:w="0" w:type="auto"/>
        <w:tblLook w:val="04A0" w:firstRow="1" w:lastRow="0" w:firstColumn="1" w:lastColumn="0" w:noHBand="0" w:noVBand="1"/>
      </w:tblPr>
      <w:tblGrid>
        <w:gridCol w:w="4675"/>
        <w:gridCol w:w="4675"/>
      </w:tblGrid>
      <w:tr w:rsidR="006602D5" w:rsidRPr="002229B8" w14:paraId="09246244" w14:textId="77777777">
        <w:trPr>
          <w:trHeight w:val="453"/>
        </w:trPr>
        <w:tc>
          <w:tcPr>
            <w:tcW w:w="4675" w:type="dxa"/>
          </w:tcPr>
          <w:p w14:paraId="003A2717" w14:textId="77777777" w:rsidR="006602D5" w:rsidRPr="002229B8" w:rsidRDefault="006602D5">
            <w:pPr>
              <w:jc w:val="center"/>
              <w:rPr>
                <w:b/>
                <w:bCs/>
              </w:rPr>
            </w:pPr>
            <w:r w:rsidRPr="002229B8">
              <w:rPr>
                <w:b/>
                <w:bCs/>
              </w:rPr>
              <w:t>Day</w:t>
            </w:r>
          </w:p>
        </w:tc>
        <w:tc>
          <w:tcPr>
            <w:tcW w:w="4675" w:type="dxa"/>
          </w:tcPr>
          <w:p w14:paraId="51FA448B" w14:textId="77777777" w:rsidR="006602D5" w:rsidRPr="002229B8" w:rsidRDefault="006602D5">
            <w:pPr>
              <w:jc w:val="center"/>
              <w:rPr>
                <w:b/>
                <w:bCs/>
              </w:rPr>
            </w:pPr>
            <w:r w:rsidRPr="002229B8">
              <w:rPr>
                <w:b/>
                <w:bCs/>
              </w:rPr>
              <w:t>Shift</w:t>
            </w:r>
          </w:p>
        </w:tc>
      </w:tr>
      <w:tr w:rsidR="006602D5" w:rsidRPr="002229B8" w14:paraId="371B7216" w14:textId="77777777">
        <w:tc>
          <w:tcPr>
            <w:tcW w:w="4675" w:type="dxa"/>
          </w:tcPr>
          <w:p w14:paraId="53DA7D6E" w14:textId="77777777" w:rsidR="006602D5" w:rsidRPr="003A4052" w:rsidRDefault="006602D5">
            <w:pPr>
              <w:rPr>
                <w:color w:val="C45911" w:themeColor="accent2" w:themeShade="BF"/>
              </w:rPr>
            </w:pPr>
            <w:r w:rsidRPr="003A4052">
              <w:rPr>
                <w:color w:val="C45911" w:themeColor="accent2" w:themeShade="BF"/>
              </w:rPr>
              <w:t>Monday</w:t>
            </w:r>
          </w:p>
        </w:tc>
        <w:tc>
          <w:tcPr>
            <w:tcW w:w="4675" w:type="dxa"/>
          </w:tcPr>
          <w:p w14:paraId="000ABDAE" w14:textId="77777777" w:rsidR="006602D5" w:rsidRPr="003A4052" w:rsidRDefault="006602D5">
            <w:pPr>
              <w:rPr>
                <w:color w:val="C45911" w:themeColor="accent2" w:themeShade="BF"/>
              </w:rPr>
            </w:pPr>
            <w:r w:rsidRPr="003A4052">
              <w:rPr>
                <w:color w:val="C45911" w:themeColor="accent2" w:themeShade="BF"/>
              </w:rPr>
              <w:t>from 9 a.m. to 6 p.m.</w:t>
            </w:r>
          </w:p>
        </w:tc>
      </w:tr>
      <w:tr w:rsidR="006602D5" w:rsidRPr="002229B8" w14:paraId="129D18FE" w14:textId="77777777">
        <w:tc>
          <w:tcPr>
            <w:tcW w:w="4675" w:type="dxa"/>
          </w:tcPr>
          <w:p w14:paraId="32F48079" w14:textId="77777777" w:rsidR="006602D5" w:rsidRPr="003A4052" w:rsidRDefault="006602D5">
            <w:pPr>
              <w:rPr>
                <w:color w:val="C45911" w:themeColor="accent2" w:themeShade="BF"/>
              </w:rPr>
            </w:pPr>
            <w:r w:rsidRPr="003A4052">
              <w:rPr>
                <w:color w:val="C45911" w:themeColor="accent2" w:themeShade="BF"/>
              </w:rPr>
              <w:t>Tuesday</w:t>
            </w:r>
          </w:p>
        </w:tc>
        <w:tc>
          <w:tcPr>
            <w:tcW w:w="4675" w:type="dxa"/>
          </w:tcPr>
          <w:p w14:paraId="68F17833" w14:textId="77777777" w:rsidR="006602D5" w:rsidRPr="003A4052" w:rsidRDefault="006602D5">
            <w:pPr>
              <w:rPr>
                <w:color w:val="C45911" w:themeColor="accent2" w:themeShade="BF"/>
              </w:rPr>
            </w:pPr>
            <w:r w:rsidRPr="003A4052">
              <w:rPr>
                <w:color w:val="C45911" w:themeColor="accent2" w:themeShade="BF"/>
              </w:rPr>
              <w:t>from 9 a.m. to 6 p.m.</w:t>
            </w:r>
          </w:p>
        </w:tc>
      </w:tr>
      <w:tr w:rsidR="006602D5" w:rsidRPr="002229B8" w14:paraId="37A11289" w14:textId="77777777">
        <w:tc>
          <w:tcPr>
            <w:tcW w:w="4675" w:type="dxa"/>
          </w:tcPr>
          <w:p w14:paraId="2FD4814C" w14:textId="77777777" w:rsidR="006602D5" w:rsidRPr="003A4052" w:rsidRDefault="006602D5">
            <w:pPr>
              <w:rPr>
                <w:color w:val="C45911" w:themeColor="accent2" w:themeShade="BF"/>
              </w:rPr>
            </w:pPr>
            <w:r w:rsidRPr="003A4052">
              <w:rPr>
                <w:color w:val="C45911" w:themeColor="accent2" w:themeShade="BF"/>
              </w:rPr>
              <w:t>Wednesday</w:t>
            </w:r>
          </w:p>
        </w:tc>
        <w:tc>
          <w:tcPr>
            <w:tcW w:w="4675" w:type="dxa"/>
          </w:tcPr>
          <w:p w14:paraId="0670FCDB" w14:textId="77777777" w:rsidR="006602D5" w:rsidRPr="003A4052" w:rsidRDefault="006602D5">
            <w:pPr>
              <w:rPr>
                <w:color w:val="C45911" w:themeColor="accent2" w:themeShade="BF"/>
              </w:rPr>
            </w:pPr>
            <w:r w:rsidRPr="003A4052">
              <w:rPr>
                <w:color w:val="C45911" w:themeColor="accent2" w:themeShade="BF"/>
              </w:rPr>
              <w:t>from 9 a.m. to 6 p.m.</w:t>
            </w:r>
          </w:p>
        </w:tc>
      </w:tr>
      <w:tr w:rsidR="006602D5" w:rsidRPr="002229B8" w14:paraId="7A02DCD4" w14:textId="77777777">
        <w:tc>
          <w:tcPr>
            <w:tcW w:w="4675" w:type="dxa"/>
          </w:tcPr>
          <w:p w14:paraId="3950D55B" w14:textId="77777777" w:rsidR="006602D5" w:rsidRPr="003A4052" w:rsidRDefault="006602D5">
            <w:pPr>
              <w:rPr>
                <w:color w:val="C45911" w:themeColor="accent2" w:themeShade="BF"/>
              </w:rPr>
            </w:pPr>
            <w:r w:rsidRPr="003A4052">
              <w:rPr>
                <w:color w:val="C45911" w:themeColor="accent2" w:themeShade="BF"/>
              </w:rPr>
              <w:lastRenderedPageBreak/>
              <w:t>Thursday</w:t>
            </w:r>
          </w:p>
        </w:tc>
        <w:tc>
          <w:tcPr>
            <w:tcW w:w="4675" w:type="dxa"/>
          </w:tcPr>
          <w:p w14:paraId="6D15D7C0" w14:textId="77777777" w:rsidR="006602D5" w:rsidRPr="003A4052" w:rsidRDefault="006602D5">
            <w:pPr>
              <w:rPr>
                <w:color w:val="C45911" w:themeColor="accent2" w:themeShade="BF"/>
              </w:rPr>
            </w:pPr>
            <w:r w:rsidRPr="003A4052">
              <w:rPr>
                <w:color w:val="C45911" w:themeColor="accent2" w:themeShade="BF"/>
              </w:rPr>
              <w:t>from 9 a.m. to 6 p.m.</w:t>
            </w:r>
          </w:p>
        </w:tc>
      </w:tr>
      <w:tr w:rsidR="006602D5" w:rsidRPr="002229B8" w14:paraId="1BB3E516" w14:textId="77777777">
        <w:tc>
          <w:tcPr>
            <w:tcW w:w="4675" w:type="dxa"/>
          </w:tcPr>
          <w:p w14:paraId="5ADEA96D" w14:textId="77777777" w:rsidR="006602D5" w:rsidRPr="003A4052" w:rsidRDefault="006602D5">
            <w:pPr>
              <w:rPr>
                <w:color w:val="C45911" w:themeColor="accent2" w:themeShade="BF"/>
              </w:rPr>
            </w:pPr>
            <w:r w:rsidRPr="003A4052">
              <w:rPr>
                <w:color w:val="C45911" w:themeColor="accent2" w:themeShade="BF"/>
              </w:rPr>
              <w:t>Friday</w:t>
            </w:r>
          </w:p>
        </w:tc>
        <w:tc>
          <w:tcPr>
            <w:tcW w:w="4675" w:type="dxa"/>
          </w:tcPr>
          <w:p w14:paraId="2B16908B" w14:textId="77777777" w:rsidR="006602D5" w:rsidRPr="003A4052" w:rsidRDefault="006602D5">
            <w:pPr>
              <w:keepNext/>
              <w:rPr>
                <w:color w:val="C45911" w:themeColor="accent2" w:themeShade="BF"/>
              </w:rPr>
            </w:pPr>
            <w:r w:rsidRPr="003A4052">
              <w:rPr>
                <w:color w:val="C45911" w:themeColor="accent2" w:themeShade="BF"/>
              </w:rPr>
              <w:t>from 9 a.m. to 6 p.m.</w:t>
            </w:r>
          </w:p>
        </w:tc>
      </w:tr>
    </w:tbl>
    <w:p w14:paraId="5F68467F" w14:textId="25652EBD" w:rsidR="006602D5" w:rsidRPr="002229B8" w:rsidRDefault="006602D5" w:rsidP="006602D5">
      <w:pPr>
        <w:pStyle w:val="Caption"/>
        <w:jc w:val="center"/>
      </w:pPr>
      <w:bookmarkStart w:id="31" w:name="_Toc180154541"/>
      <w:bookmarkStart w:id="32" w:name="_Toc191487099"/>
      <w:r w:rsidRPr="002229B8">
        <w:t xml:space="preserve">Table </w:t>
      </w:r>
      <w:r w:rsidR="000D55E5" w:rsidRPr="002229B8">
        <w:fldChar w:fldCharType="begin"/>
      </w:r>
      <w:r w:rsidR="000D55E5" w:rsidRPr="002229B8">
        <w:instrText xml:space="preserve"> SEQ Table \* ARABIC </w:instrText>
      </w:r>
      <w:r w:rsidR="000D55E5" w:rsidRPr="002229B8">
        <w:fldChar w:fldCharType="separate"/>
      </w:r>
      <w:r w:rsidR="000D55E5" w:rsidRPr="002229B8">
        <w:rPr>
          <w:noProof/>
        </w:rPr>
        <w:t>1</w:t>
      </w:r>
      <w:r w:rsidR="000D55E5" w:rsidRPr="002229B8">
        <w:fldChar w:fldCharType="end"/>
      </w:r>
      <w:r w:rsidRPr="002229B8">
        <w:t xml:space="preserve"> - SLA schedule</w:t>
      </w:r>
      <w:bookmarkEnd w:id="31"/>
      <w:bookmarkEnd w:id="32"/>
    </w:p>
    <w:p w14:paraId="3E65573F" w14:textId="183DE23B" w:rsidR="006602D5" w:rsidRPr="002229B8" w:rsidRDefault="006602D5" w:rsidP="006602D5">
      <w:pPr>
        <w:spacing w:before="240" w:beforeAutospacing="0" w:after="240" w:afterAutospacing="0"/>
      </w:pPr>
      <w:r w:rsidRPr="002229B8">
        <w:t xml:space="preserve">The following services must be ensured during the same </w:t>
      </w:r>
      <w:r w:rsidR="00BC182B">
        <w:t>above-listed</w:t>
      </w:r>
      <w:r w:rsidRPr="002229B8">
        <w:t xml:space="preserve"> hours:</w:t>
      </w:r>
    </w:p>
    <w:p w14:paraId="50D0CEF2" w14:textId="77777777" w:rsidR="006602D5" w:rsidRPr="002229B8" w:rsidRDefault="006602D5" w:rsidP="00B17E1F">
      <w:pPr>
        <w:pStyle w:val="ListParagraph"/>
        <w:numPr>
          <w:ilvl w:val="0"/>
          <w:numId w:val="9"/>
        </w:numPr>
        <w:spacing w:before="240" w:beforeAutospacing="0" w:after="240" w:afterAutospacing="0"/>
        <w:ind w:left="1080"/>
        <w:contextualSpacing/>
      </w:pPr>
      <w:r w:rsidRPr="002229B8">
        <w:t>Help desk service;</w:t>
      </w:r>
    </w:p>
    <w:p w14:paraId="75A0098E" w14:textId="1897E2B1" w:rsidR="006602D5" w:rsidRPr="002229B8" w:rsidRDefault="006602D5" w:rsidP="00B17E1F">
      <w:pPr>
        <w:pStyle w:val="ListParagraph"/>
        <w:numPr>
          <w:ilvl w:val="0"/>
          <w:numId w:val="9"/>
        </w:numPr>
        <w:spacing w:before="240" w:beforeAutospacing="0" w:after="240" w:afterAutospacing="0"/>
        <w:ind w:left="1080"/>
        <w:contextualSpacing/>
      </w:pPr>
      <w:r w:rsidRPr="002229B8">
        <w:t>Collection, recording and assigning of troubleshooting intervention requests in the form of tickets;</w:t>
      </w:r>
    </w:p>
    <w:p w14:paraId="179B7F27" w14:textId="0FB191D6" w:rsidR="006602D5" w:rsidRPr="002229B8" w:rsidRDefault="006602D5" w:rsidP="00B17E1F">
      <w:pPr>
        <w:pStyle w:val="ListParagraph"/>
        <w:numPr>
          <w:ilvl w:val="0"/>
          <w:numId w:val="9"/>
        </w:numPr>
        <w:spacing w:before="240" w:beforeAutospacing="0" w:after="240" w:afterAutospacing="0"/>
        <w:ind w:left="1080"/>
      </w:pPr>
      <w:r w:rsidRPr="002229B8">
        <w:t>Follow-up and check of the execution</w:t>
      </w:r>
      <w:r w:rsidR="008F35FB">
        <w:t>,</w:t>
      </w:r>
      <w:r w:rsidRPr="002229B8">
        <w:t xml:space="preserve"> of troubleshooting interventions and recording completion of tickets.</w:t>
      </w:r>
    </w:p>
    <w:p w14:paraId="4369CAAB" w14:textId="6B8F7DCA" w:rsidR="006602D5" w:rsidRPr="002229B8" w:rsidRDefault="006602D5" w:rsidP="006602D5">
      <w:pPr>
        <w:spacing w:before="240" w:beforeAutospacing="0" w:after="240" w:afterAutospacing="0"/>
      </w:pPr>
      <w:r w:rsidRPr="002229B8">
        <w:t xml:space="preserve">The tracking system used by the contractor must allow the CA to receive notifications regarding any status change regarding the intervention requests made until the tickets’ completion </w:t>
      </w:r>
      <w:r w:rsidR="008A39BE">
        <w:t xml:space="preserve">is </w:t>
      </w:r>
      <w:r w:rsidRPr="002229B8">
        <w:t>performed by the technical teams in charge.</w:t>
      </w:r>
    </w:p>
    <w:p w14:paraId="2DF9833E" w14:textId="77777777" w:rsidR="007023D1" w:rsidRPr="002229B8" w:rsidRDefault="007023D1" w:rsidP="00B17E1F">
      <w:pPr>
        <w:pStyle w:val="Heading1"/>
        <w:numPr>
          <w:ilvl w:val="0"/>
          <w:numId w:val="2"/>
        </w:numPr>
        <w:ind w:left="567" w:hanging="567"/>
        <w:rPr>
          <w:rStyle w:val="Heading1Char"/>
          <w:b/>
          <w:bCs/>
        </w:rPr>
      </w:pPr>
      <w:r w:rsidRPr="002229B8">
        <w:rPr>
          <w:rStyle w:val="Heading1Char"/>
          <w:b/>
          <w:bCs/>
        </w:rPr>
        <w:t xml:space="preserve"> </w:t>
      </w:r>
      <w:bookmarkStart w:id="33" w:name="_Toc191487084"/>
      <w:r w:rsidRPr="002229B8">
        <w:rPr>
          <w:rStyle w:val="Heading1Char"/>
          <w:b/>
          <w:bCs/>
        </w:rPr>
        <w:t>Penalties</w:t>
      </w:r>
      <w:bookmarkEnd w:id="33"/>
    </w:p>
    <w:p w14:paraId="3C21428B" w14:textId="77777777" w:rsidR="00342A44" w:rsidRPr="002229B8" w:rsidRDefault="00342A44" w:rsidP="00342A44">
      <w:pPr>
        <w:spacing w:before="240" w:beforeAutospacing="0" w:after="240" w:afterAutospacing="0"/>
      </w:pPr>
      <w:r w:rsidRPr="002229B8">
        <w:t>The CA will have the possibility to monitor all operations related to the performance of the services.</w:t>
      </w:r>
      <w:r w:rsidRPr="002229B8" w:rsidDel="00A9703B">
        <w:t xml:space="preserve"> </w:t>
      </w:r>
    </w:p>
    <w:p w14:paraId="6302A5F0" w14:textId="77777777" w:rsidR="00342A44" w:rsidRPr="002229B8" w:rsidRDefault="00342A44" w:rsidP="00342A44">
      <w:pPr>
        <w:spacing w:before="240" w:beforeAutospacing="0" w:after="240" w:afterAutospacing="0"/>
      </w:pPr>
      <w:r w:rsidRPr="002229B8">
        <w:t>Quality control and acceptability of the provided services will be performed by the CM, whose judgment will be indisputable.</w:t>
      </w:r>
    </w:p>
    <w:p w14:paraId="77A4C10D" w14:textId="77777777" w:rsidR="00342A44" w:rsidRPr="002229B8" w:rsidRDefault="00342A44" w:rsidP="00342A44">
      <w:pPr>
        <w:spacing w:before="240" w:beforeAutospacing="0" w:after="240" w:afterAutospacing="0"/>
      </w:pPr>
      <w:r w:rsidRPr="002229B8">
        <w:t>The contractor will be required to perform the services with accuracy, diligence and thoroughness, using the most appropriate practices, know-how and tools.</w:t>
      </w:r>
    </w:p>
    <w:p w14:paraId="068EF9E6" w14:textId="53B7A379" w:rsidR="00342A44" w:rsidRPr="002229B8" w:rsidRDefault="00342A44" w:rsidP="00342A44">
      <w:pPr>
        <w:spacing w:before="240" w:beforeAutospacing="0" w:after="240" w:afterAutospacing="0"/>
      </w:pPr>
      <w:r w:rsidRPr="002229B8">
        <w:t>As further described, the quality indicators and envisaged SLAs to measure the different services under this contract range from compliance with contractual deadlines (quality plan, preparation of environments, dates of release of software into production, etc.) to Quality Assurance (defect indexes during testing) and to the technical support and maintenance services (corrective, regulatory compliance, enhancement) as well as application support/management.</w:t>
      </w:r>
    </w:p>
    <w:p w14:paraId="3615AEDE" w14:textId="14D208CB" w:rsidR="00342A44" w:rsidRPr="002229B8" w:rsidRDefault="00342A44" w:rsidP="00342A44">
      <w:pPr>
        <w:spacing w:before="240" w:beforeAutospacing="0" w:after="240" w:afterAutospacing="0"/>
      </w:pPr>
      <w:r w:rsidRPr="002229B8">
        <w:t xml:space="preserve">The </w:t>
      </w:r>
      <w:r w:rsidR="00793827" w:rsidRPr="002229B8">
        <w:t xml:space="preserve">middleware </w:t>
      </w:r>
      <w:r w:rsidR="00C90CD2" w:rsidRPr="002229B8">
        <w:t xml:space="preserve">software </w:t>
      </w:r>
      <w:r w:rsidR="00793827" w:rsidRPr="002229B8">
        <w:t xml:space="preserve">application </w:t>
      </w:r>
      <w:r w:rsidR="00C90CD2" w:rsidRPr="002229B8">
        <w:t>development</w:t>
      </w:r>
      <w:r w:rsidR="004C68FA" w:rsidRPr="002229B8">
        <w:t xml:space="preserve"> </w:t>
      </w:r>
      <w:r w:rsidR="00500FCE" w:rsidRPr="002229B8">
        <w:t xml:space="preserve">and/or maintenance </w:t>
      </w:r>
      <w:r w:rsidR="004C68FA" w:rsidRPr="002229B8">
        <w:t>services</w:t>
      </w:r>
      <w:r w:rsidRPr="002229B8">
        <w:t xml:space="preserve"> must be carried out as per </w:t>
      </w:r>
      <w:r w:rsidR="00921FAD">
        <w:t xml:space="preserve">the </w:t>
      </w:r>
      <w:r w:rsidRPr="002229B8">
        <w:t>contract terms envisaged in this document and consistent with the bidder’s technical offer.</w:t>
      </w:r>
    </w:p>
    <w:p w14:paraId="78E24AF8" w14:textId="77777777" w:rsidR="00342A44" w:rsidRPr="002229B8" w:rsidRDefault="00342A44" w:rsidP="00B17E1F">
      <w:pPr>
        <w:pStyle w:val="Heading2"/>
        <w:keepLines/>
        <w:numPr>
          <w:ilvl w:val="1"/>
          <w:numId w:val="2"/>
        </w:numPr>
        <w:spacing w:before="100" w:beforeAutospacing="1"/>
        <w:ind w:left="936" w:hanging="576"/>
        <w:rPr>
          <w:rFonts w:eastAsiaTheme="majorEastAsia"/>
        </w:rPr>
      </w:pPr>
      <w:bookmarkStart w:id="34" w:name="_Toc180154470"/>
      <w:bookmarkStart w:id="35" w:name="_Toc191487085"/>
      <w:r w:rsidRPr="002229B8">
        <w:rPr>
          <w:rFonts w:eastAsiaTheme="majorEastAsia"/>
          <w:u w:val="none"/>
        </w:rPr>
        <w:t>Penalties for non-compliance with contractual deadlines (NCCD)</w:t>
      </w:r>
      <w:bookmarkEnd w:id="34"/>
      <w:bookmarkEnd w:id="35"/>
    </w:p>
    <w:p w14:paraId="1C630182" w14:textId="43B8ABCE" w:rsidR="00342A44" w:rsidRPr="002229B8" w:rsidRDefault="00342A44" w:rsidP="00B17E1F">
      <w:pPr>
        <w:pStyle w:val="ListParagraph"/>
        <w:numPr>
          <w:ilvl w:val="0"/>
          <w:numId w:val="12"/>
        </w:numPr>
        <w:spacing w:before="240" w:beforeAutospacing="0" w:after="240" w:afterAutospacing="0"/>
      </w:pPr>
      <w:r w:rsidRPr="002229B8">
        <w:t xml:space="preserve">The NCCD quality indicator measures compliance with deadlines arising from the contract terms including the contractor's technical offer and/or scheduled in an agreed work plan. The requirement also applies to any enhancement maintenance activities. For each natural and consecutive day of delay with respect to the timetable set forth in Article 5 (equal to </w:t>
      </w:r>
      <w:r w:rsidRPr="002229B8">
        <w:rPr>
          <w:color w:val="C45911" w:themeColor="accent2" w:themeShade="BF"/>
        </w:rPr>
        <w:t>[</w:t>
      </w:r>
      <w:r w:rsidRPr="002229B8">
        <w:rPr>
          <w:i/>
          <w:color w:val="C45911" w:themeColor="accent2" w:themeShade="BF"/>
        </w:rPr>
        <w:t xml:space="preserve">indicate the number of </w:t>
      </w:r>
      <w:r w:rsidRPr="002229B8">
        <w:rPr>
          <w:i/>
          <w:iCs/>
          <w:color w:val="C45911" w:themeColor="accent2" w:themeShade="BF"/>
        </w:rPr>
        <w:t>days</w:t>
      </w:r>
      <w:r w:rsidRPr="002229B8">
        <w:rPr>
          <w:color w:val="C45911" w:themeColor="accent2" w:themeShade="BF"/>
        </w:rPr>
        <w:t>]</w:t>
      </w:r>
      <w:r w:rsidRPr="002229B8">
        <w:t xml:space="preserve"> days) for the provision of the services under this contract or with respect to any other established contractual deadline, the CA will apply a penalty </w:t>
      </w:r>
      <w:r w:rsidRPr="002229B8">
        <w:lastRenderedPageBreak/>
        <w:t xml:space="preserve">equal to </w:t>
      </w:r>
      <w:r w:rsidRPr="002229B8">
        <w:rPr>
          <w:color w:val="C45911" w:themeColor="accent2" w:themeShade="BF"/>
        </w:rPr>
        <w:t>[</w:t>
      </w:r>
      <w:r w:rsidRPr="002229B8">
        <w:rPr>
          <w:i/>
          <w:iCs/>
          <w:color w:val="C45911" w:themeColor="accent2" w:themeShade="BF"/>
        </w:rPr>
        <w:t xml:space="preserve">insert </w:t>
      </w:r>
      <w:r w:rsidR="005B2597">
        <w:rPr>
          <w:i/>
          <w:iCs/>
          <w:color w:val="C45911" w:themeColor="accent2" w:themeShade="BF"/>
        </w:rPr>
        <w:t>per cent</w:t>
      </w:r>
      <w:r w:rsidRPr="002229B8">
        <w:rPr>
          <w:i/>
          <w:iCs/>
          <w:color w:val="C45911" w:themeColor="accent2" w:themeShade="BF"/>
        </w:rPr>
        <w:t xml:space="preserve"> amount</w:t>
      </w:r>
      <w:r w:rsidRPr="002229B8">
        <w:rPr>
          <w:color w:val="C45911" w:themeColor="accent2" w:themeShade="BF"/>
        </w:rPr>
        <w:t xml:space="preserve">] % </w:t>
      </w:r>
      <w:r w:rsidRPr="002229B8">
        <w:t>of the total contract amount, except in cases of force majeure.</w:t>
      </w:r>
    </w:p>
    <w:p w14:paraId="1D3DA3FB" w14:textId="77777777" w:rsidR="00342A44" w:rsidRPr="002229B8" w:rsidRDefault="00342A44" w:rsidP="00B17E1F">
      <w:pPr>
        <w:pStyle w:val="ListParagraph"/>
        <w:numPr>
          <w:ilvl w:val="0"/>
          <w:numId w:val="12"/>
        </w:numPr>
        <w:spacing w:before="240" w:beforeAutospacing="0" w:after="240" w:afterAutospacing="0"/>
      </w:pPr>
      <w:r w:rsidRPr="002229B8">
        <w:t xml:space="preserve">Should the delay exceed </w:t>
      </w:r>
      <w:r w:rsidRPr="002229B8">
        <w:rPr>
          <w:color w:val="C45911" w:themeColor="accent2" w:themeShade="BF"/>
        </w:rPr>
        <w:t>14 [</w:t>
      </w:r>
      <w:r w:rsidRPr="002229B8">
        <w:rPr>
          <w:i/>
          <w:iCs/>
          <w:color w:val="C45911" w:themeColor="accent2" w:themeShade="BF"/>
        </w:rPr>
        <w:t>or insert alternative term</w:t>
      </w:r>
      <w:r w:rsidRPr="002229B8">
        <w:rPr>
          <w:color w:val="C45911" w:themeColor="accent2" w:themeShade="BF"/>
        </w:rPr>
        <w:t xml:space="preserve">] </w:t>
      </w:r>
      <w:r w:rsidRPr="002229B8">
        <w:t xml:space="preserve">calendar days from the set contractual deadline, the CA may proceed with a notice of default to the contractor by sending a certified email warning to comply within a period of no less than </w:t>
      </w:r>
      <w:r w:rsidRPr="002229B8">
        <w:rPr>
          <w:color w:val="C45911" w:themeColor="accent2" w:themeShade="BF"/>
        </w:rPr>
        <w:t>7 [</w:t>
      </w:r>
      <w:r w:rsidRPr="002229B8">
        <w:rPr>
          <w:i/>
          <w:iCs/>
          <w:color w:val="C45911" w:themeColor="accent2" w:themeShade="BF"/>
        </w:rPr>
        <w:t>or insert alternative term</w:t>
      </w:r>
      <w:r w:rsidRPr="002229B8">
        <w:rPr>
          <w:color w:val="C45911" w:themeColor="accent2" w:themeShade="BF"/>
        </w:rPr>
        <w:t xml:space="preserve">] </w:t>
      </w:r>
      <w:r w:rsidRPr="002229B8">
        <w:t xml:space="preserve">days. The expiration of the above term thus entails the </w:t>
      </w:r>
      <w:r w:rsidRPr="002229B8">
        <w:rPr>
          <w:i/>
          <w:iCs/>
        </w:rPr>
        <w:t>ipso jure</w:t>
      </w:r>
      <w:r w:rsidRPr="002229B8">
        <w:t xml:space="preserve"> termination of the contract pursuant to the following Article 11, without prejudice to compensation for the damage incurred by the CA, </w:t>
      </w:r>
      <w:r w:rsidRPr="002229B8">
        <w:rPr>
          <w:color w:val="C45911" w:themeColor="accent2" w:themeShade="BF"/>
        </w:rPr>
        <w:t>[</w:t>
      </w:r>
      <w:r w:rsidRPr="002229B8">
        <w:rPr>
          <w:b/>
          <w:bCs/>
          <w:color w:val="C45911" w:themeColor="accent2" w:themeShade="BF"/>
        </w:rPr>
        <w:t>Optional</w:t>
      </w:r>
      <w:r w:rsidRPr="002229B8">
        <w:rPr>
          <w:b/>
          <w:color w:val="C45911" w:themeColor="accent2" w:themeShade="BF"/>
        </w:rPr>
        <w:t>:</w:t>
      </w:r>
      <w:r w:rsidRPr="002229B8">
        <w:rPr>
          <w:b/>
          <w:bCs/>
          <w:color w:val="C45911" w:themeColor="accent2" w:themeShade="BF"/>
        </w:rPr>
        <w:t xml:space="preserve"> </w:t>
      </w:r>
      <w:r w:rsidRPr="002229B8">
        <w:rPr>
          <w:i/>
          <w:iCs/>
          <w:color w:val="C45911" w:themeColor="accent2" w:themeShade="BF"/>
        </w:rPr>
        <w:t>evaluate if to insert the following</w:t>
      </w:r>
      <w:r w:rsidRPr="002229B8">
        <w:t>: including the loss of allocated funding.</w:t>
      </w:r>
      <w:r w:rsidRPr="002229B8">
        <w:rPr>
          <w:color w:val="C45911" w:themeColor="accent2" w:themeShade="BF"/>
        </w:rPr>
        <w:t>]</w:t>
      </w:r>
    </w:p>
    <w:p w14:paraId="60C8A029" w14:textId="77777777" w:rsidR="00342A44" w:rsidRPr="002229B8" w:rsidRDefault="00342A44" w:rsidP="00B17E1F">
      <w:pPr>
        <w:pStyle w:val="Heading2"/>
        <w:keepLines/>
        <w:numPr>
          <w:ilvl w:val="1"/>
          <w:numId w:val="2"/>
        </w:numPr>
        <w:spacing w:before="100" w:beforeAutospacing="1"/>
        <w:ind w:left="936" w:hanging="576"/>
        <w:rPr>
          <w:rFonts w:eastAsiaTheme="majorEastAsia" w:cstheme="majorBidi"/>
        </w:rPr>
      </w:pPr>
      <w:bookmarkStart w:id="36" w:name="_Toc180154471"/>
      <w:bookmarkStart w:id="37" w:name="_Toc191487086"/>
      <w:r w:rsidRPr="002229B8">
        <w:rPr>
          <w:rFonts w:eastAsiaTheme="majorEastAsia" w:cstheme="majorBidi"/>
          <w:u w:val="none"/>
        </w:rPr>
        <w:t>Penalties for non-compliance with corrective maintenance SLAs</w:t>
      </w:r>
      <w:bookmarkEnd w:id="36"/>
      <w:bookmarkEnd w:id="37"/>
    </w:p>
    <w:p w14:paraId="0BB525C8" w14:textId="07C60615" w:rsidR="00342A44" w:rsidRPr="002229B8" w:rsidRDefault="00342A44" w:rsidP="00B17E1F">
      <w:pPr>
        <w:pStyle w:val="ListParagraph"/>
        <w:numPr>
          <w:ilvl w:val="0"/>
          <w:numId w:val="13"/>
        </w:numPr>
        <w:spacing w:before="240" w:beforeAutospacing="0" w:after="240" w:afterAutospacing="0"/>
      </w:pPr>
      <w:r w:rsidRPr="002229B8">
        <w:t>The quality indicator measures the degree of effectiveness of corrective maintenance interventions through the percentage of recurring malfunctions following each corrective maintenance intervention.</w:t>
      </w:r>
    </w:p>
    <w:p w14:paraId="3F7717D0" w14:textId="77777777" w:rsidR="00342A44" w:rsidRPr="002229B8" w:rsidRDefault="00342A44" w:rsidP="00B17E1F">
      <w:pPr>
        <w:pStyle w:val="ListParagraph"/>
        <w:numPr>
          <w:ilvl w:val="0"/>
          <w:numId w:val="13"/>
        </w:numPr>
        <w:spacing w:before="240" w:beforeAutospacing="0" w:after="240" w:afterAutospacing="0"/>
      </w:pPr>
      <w:r w:rsidRPr="002229B8">
        <w:t xml:space="preserve">The CA will evaluate on a monthly </w:t>
      </w:r>
      <w:r w:rsidRPr="002229B8">
        <w:rPr>
          <w:color w:val="C45911" w:themeColor="accent2" w:themeShade="BF"/>
        </w:rPr>
        <w:t>[</w:t>
      </w:r>
      <w:r w:rsidRPr="002229B8">
        <w:rPr>
          <w:i/>
          <w:color w:val="C45911" w:themeColor="accent2" w:themeShade="BF"/>
        </w:rPr>
        <w:t>indicate alternative term</w:t>
      </w:r>
      <w:r w:rsidRPr="002229B8">
        <w:rPr>
          <w:color w:val="C45911" w:themeColor="accent2" w:themeShade="BF"/>
        </w:rPr>
        <w:t>]</w:t>
      </w:r>
      <w:r w:rsidRPr="002229B8">
        <w:t xml:space="preserve"> basis the number of corrective maintenance interventions which presented recurring malfunctions post-intervention.</w:t>
      </w:r>
    </w:p>
    <w:p w14:paraId="56D95C34" w14:textId="1EA3CC37" w:rsidR="00342A44" w:rsidRPr="002229B8" w:rsidRDefault="00342A44" w:rsidP="00B17E1F">
      <w:pPr>
        <w:pStyle w:val="ListParagraph"/>
        <w:numPr>
          <w:ilvl w:val="0"/>
          <w:numId w:val="13"/>
        </w:numPr>
        <w:spacing w:before="240" w:beforeAutospacing="0" w:after="240" w:afterAutospacing="0"/>
      </w:pPr>
      <w:r w:rsidRPr="002229B8">
        <w:t>For each corrective maintenance intervention that presented a recurring malfunction (the first reopening of a ticket for the same malfunction also makes it recurrent)</w:t>
      </w:r>
      <w:r w:rsidR="007042FE">
        <w:t>,</w:t>
      </w:r>
      <w:r w:rsidRPr="002229B8">
        <w:t xml:space="preserve"> the CA will apply a penalty equal to 1 </w:t>
      </w:r>
      <w:r w:rsidRPr="002229B8">
        <w:rPr>
          <w:color w:val="C45911" w:themeColor="accent2" w:themeShade="BF"/>
        </w:rPr>
        <w:t>[</w:t>
      </w:r>
      <w:r w:rsidRPr="002229B8">
        <w:rPr>
          <w:i/>
          <w:iCs/>
          <w:color w:val="C45911" w:themeColor="accent2" w:themeShade="BF"/>
        </w:rPr>
        <w:t xml:space="preserve">or insert alternative </w:t>
      </w:r>
      <w:r w:rsidR="005B2597">
        <w:rPr>
          <w:i/>
          <w:iCs/>
          <w:color w:val="C45911" w:themeColor="accent2" w:themeShade="BF"/>
        </w:rPr>
        <w:t>per cent</w:t>
      </w:r>
      <w:r w:rsidRPr="002229B8">
        <w:rPr>
          <w:i/>
          <w:iCs/>
          <w:color w:val="C45911" w:themeColor="accent2" w:themeShade="BF"/>
        </w:rPr>
        <w:t xml:space="preserve"> amount</w:t>
      </w:r>
      <w:r w:rsidRPr="002229B8">
        <w:rPr>
          <w:color w:val="C45911" w:themeColor="accent2" w:themeShade="BF"/>
        </w:rPr>
        <w:t xml:space="preserve">] </w:t>
      </w:r>
      <w:r w:rsidRPr="002229B8">
        <w:t xml:space="preserve">% of the contract amount calculated for the given corrective maintenance service, including software applications released </w:t>
      </w:r>
      <w:r w:rsidR="00894FA4" w:rsidRPr="002229B8">
        <w:t xml:space="preserve">(developed or </w:t>
      </w:r>
      <w:r w:rsidRPr="002229B8">
        <w:t>enhanced) by the contractor during the contract term.</w:t>
      </w:r>
    </w:p>
    <w:p w14:paraId="6BB32854" w14:textId="77777777" w:rsidR="00342A44" w:rsidRPr="002229B8" w:rsidRDefault="00342A44" w:rsidP="00B17E1F">
      <w:pPr>
        <w:pStyle w:val="Heading2"/>
        <w:keepLines/>
        <w:numPr>
          <w:ilvl w:val="1"/>
          <w:numId w:val="2"/>
        </w:numPr>
        <w:spacing w:before="100" w:beforeAutospacing="1"/>
        <w:ind w:left="936" w:hanging="576"/>
        <w:rPr>
          <w:rFonts w:eastAsiaTheme="majorEastAsia" w:cstheme="majorBidi"/>
        </w:rPr>
      </w:pPr>
      <w:bookmarkStart w:id="38" w:name="_Toc180154472"/>
      <w:bookmarkStart w:id="39" w:name="_Toc191487087"/>
      <w:r w:rsidRPr="002229B8">
        <w:rPr>
          <w:rFonts w:eastAsiaTheme="majorEastAsia" w:cstheme="majorBidi"/>
          <w:u w:val="none"/>
        </w:rPr>
        <w:t>Penalties for non-compliance with enhancement maintenance SLAs</w:t>
      </w:r>
      <w:bookmarkEnd w:id="38"/>
      <w:bookmarkEnd w:id="39"/>
    </w:p>
    <w:p w14:paraId="531F1EDE" w14:textId="0CDE0D4F" w:rsidR="00342A44" w:rsidRPr="002229B8" w:rsidRDefault="00342A44" w:rsidP="00B17E1F">
      <w:pPr>
        <w:pStyle w:val="ListParagraph"/>
        <w:numPr>
          <w:ilvl w:val="0"/>
          <w:numId w:val="14"/>
        </w:numPr>
        <w:spacing w:before="240" w:beforeAutospacing="0" w:after="240" w:afterAutospacing="0"/>
      </w:pPr>
      <w:r w:rsidRPr="002229B8">
        <w:t>The malfunctions for enhancements releases (MER) indicator monitors the number of critical and non-critical malfunctions for each enhancement activity released into operation during the reference period.</w:t>
      </w:r>
    </w:p>
    <w:p w14:paraId="6BF00A54" w14:textId="77777777" w:rsidR="00342A44" w:rsidRPr="002229B8" w:rsidRDefault="00342A44" w:rsidP="00B17E1F">
      <w:pPr>
        <w:pStyle w:val="ListParagraph"/>
        <w:numPr>
          <w:ilvl w:val="0"/>
          <w:numId w:val="14"/>
        </w:numPr>
        <w:spacing w:before="240" w:beforeAutospacing="0" w:after="240" w:afterAutospacing="0"/>
      </w:pPr>
      <w:r w:rsidRPr="002229B8">
        <w:t xml:space="preserve">The operational startup phase is established as lasting 4 </w:t>
      </w:r>
      <w:r w:rsidRPr="002229B8">
        <w:rPr>
          <w:color w:val="C45911" w:themeColor="accent2" w:themeShade="BF"/>
        </w:rPr>
        <w:t>[</w:t>
      </w:r>
      <w:r w:rsidRPr="002229B8">
        <w:rPr>
          <w:i/>
          <w:iCs/>
          <w:color w:val="C45911" w:themeColor="accent2" w:themeShade="BF"/>
        </w:rPr>
        <w:t>or insert alternative term</w:t>
      </w:r>
      <w:r w:rsidRPr="002229B8">
        <w:rPr>
          <w:color w:val="C45911" w:themeColor="accent2" w:themeShade="BF"/>
        </w:rPr>
        <w:t>]</w:t>
      </w:r>
      <w:r w:rsidRPr="002229B8">
        <w:t xml:space="preserve"> months from the release of the software application enhancement into production; this criterion applies to the first release of the application into production and to each subsequent enhancement goal released into operation. </w:t>
      </w:r>
    </w:p>
    <w:p w14:paraId="72C936FE" w14:textId="77777777" w:rsidR="00342A44" w:rsidRPr="002229B8" w:rsidRDefault="00342A44" w:rsidP="00B17E1F">
      <w:pPr>
        <w:pStyle w:val="ListParagraph"/>
        <w:numPr>
          <w:ilvl w:val="0"/>
          <w:numId w:val="14"/>
        </w:numPr>
        <w:spacing w:before="240" w:beforeAutospacing="0" w:after="240" w:afterAutospacing="0"/>
      </w:pPr>
      <w:r w:rsidRPr="002229B8">
        <w:t>The thresholds for the application of penalties within the reference period are the following:</w:t>
      </w:r>
    </w:p>
    <w:p w14:paraId="2C4F9F7E" w14:textId="77777777" w:rsidR="00342A44" w:rsidRPr="002229B8" w:rsidRDefault="00342A44" w:rsidP="00B17E1F">
      <w:pPr>
        <w:pStyle w:val="ListParagraph"/>
        <w:numPr>
          <w:ilvl w:val="0"/>
          <w:numId w:val="11"/>
        </w:numPr>
        <w:spacing w:before="240" w:beforeAutospacing="0" w:after="240" w:afterAutospacing="0"/>
        <w:ind w:left="1368"/>
        <w:contextualSpacing/>
      </w:pPr>
      <w:r w:rsidRPr="002229B8">
        <w:t>MER (critical) = 0</w:t>
      </w:r>
    </w:p>
    <w:p w14:paraId="05A669F0" w14:textId="77777777" w:rsidR="00342A44" w:rsidRPr="002229B8" w:rsidRDefault="00342A44" w:rsidP="00B17E1F">
      <w:pPr>
        <w:pStyle w:val="ListParagraph"/>
        <w:numPr>
          <w:ilvl w:val="0"/>
          <w:numId w:val="11"/>
        </w:numPr>
        <w:spacing w:before="240" w:beforeAutospacing="0" w:after="240" w:afterAutospacing="0"/>
        <w:ind w:left="1368"/>
      </w:pPr>
      <w:r w:rsidRPr="002229B8">
        <w:t>MER (non-critical) ≤ 3</w:t>
      </w:r>
    </w:p>
    <w:p w14:paraId="5C3AC266" w14:textId="2A3DE905" w:rsidR="00342A44" w:rsidRPr="002229B8" w:rsidRDefault="00342A44" w:rsidP="00B17E1F">
      <w:pPr>
        <w:pStyle w:val="ListParagraph"/>
        <w:numPr>
          <w:ilvl w:val="0"/>
          <w:numId w:val="13"/>
        </w:numPr>
        <w:spacing w:before="240" w:beforeAutospacing="0" w:after="240" w:afterAutospacing="0"/>
      </w:pPr>
      <w:r w:rsidRPr="002229B8">
        <w:t xml:space="preserve">Within the given timeframe, each malfunction (critical, non-critical) beyond the above listed established thresholds, will result in the application of a penalty equal to 1 </w:t>
      </w:r>
      <w:r w:rsidRPr="002229B8">
        <w:rPr>
          <w:color w:val="C45911" w:themeColor="accent2" w:themeShade="BF"/>
        </w:rPr>
        <w:t>[</w:t>
      </w:r>
      <w:r w:rsidRPr="002229B8">
        <w:rPr>
          <w:i/>
          <w:iCs/>
          <w:color w:val="C45911" w:themeColor="accent2" w:themeShade="BF"/>
        </w:rPr>
        <w:t xml:space="preserve">or insert alternative </w:t>
      </w:r>
      <w:r w:rsidR="005B2597">
        <w:rPr>
          <w:i/>
          <w:iCs/>
          <w:color w:val="C45911" w:themeColor="accent2" w:themeShade="BF"/>
        </w:rPr>
        <w:t>per cent</w:t>
      </w:r>
      <w:r w:rsidRPr="002229B8">
        <w:rPr>
          <w:i/>
          <w:iCs/>
          <w:color w:val="C45911" w:themeColor="accent2" w:themeShade="BF"/>
        </w:rPr>
        <w:t xml:space="preserve"> amount</w:t>
      </w:r>
      <w:r w:rsidRPr="002229B8">
        <w:rPr>
          <w:color w:val="C45911" w:themeColor="accent2" w:themeShade="BF"/>
        </w:rPr>
        <w:t xml:space="preserve">] </w:t>
      </w:r>
      <w:r w:rsidRPr="002229B8">
        <w:t>% of the contract amount calculated for the given application enhancement implementation objective.</w:t>
      </w:r>
    </w:p>
    <w:p w14:paraId="5540B552" w14:textId="77777777" w:rsidR="00342A44" w:rsidRPr="002229B8" w:rsidRDefault="00342A44" w:rsidP="00342A44">
      <w:pPr>
        <w:spacing w:before="240" w:beforeAutospacing="0" w:after="240" w:afterAutospacing="0"/>
      </w:pPr>
      <w:r w:rsidRPr="002229B8">
        <w:lastRenderedPageBreak/>
        <w:t>The penalties to be paid by the contractor defined under this Article will be deducted from the amounts due to the latter by withholding from the first invoice issued following the dispute, in any case, without prejudice to the right to compensation for damages.</w:t>
      </w:r>
    </w:p>
    <w:p w14:paraId="3CBD1025" w14:textId="26F82C8A" w:rsidR="00342A44" w:rsidRPr="002229B8" w:rsidRDefault="00342A44" w:rsidP="00342A44">
      <w:pPr>
        <w:spacing w:before="240" w:beforeAutospacing="0" w:after="240" w:afterAutospacing="0"/>
      </w:pPr>
      <w:r w:rsidRPr="002229B8">
        <w:t xml:space="preserve">Finally, if the amount of the applied penalties defined under this Article reaches </w:t>
      </w:r>
      <w:r w:rsidRPr="002229B8">
        <w:rPr>
          <w:color w:val="C45911" w:themeColor="accent2" w:themeShade="BF"/>
        </w:rPr>
        <w:t>[</w:t>
      </w:r>
      <w:r w:rsidRPr="002229B8">
        <w:rPr>
          <w:i/>
          <w:iCs/>
          <w:color w:val="C45911" w:themeColor="accent2" w:themeShade="BF"/>
        </w:rPr>
        <w:t xml:space="preserve">insert cap </w:t>
      </w:r>
      <w:r w:rsidR="005B2597">
        <w:rPr>
          <w:i/>
          <w:iCs/>
          <w:color w:val="C45911" w:themeColor="accent2" w:themeShade="BF"/>
        </w:rPr>
        <w:t>per cent</w:t>
      </w:r>
      <w:r w:rsidRPr="002229B8">
        <w:rPr>
          <w:i/>
          <w:iCs/>
          <w:color w:val="C45911" w:themeColor="accent2" w:themeShade="BF"/>
        </w:rPr>
        <w:t xml:space="preserve"> amount</w:t>
      </w:r>
      <w:r w:rsidRPr="002229B8">
        <w:rPr>
          <w:color w:val="C45911" w:themeColor="accent2" w:themeShade="BF"/>
        </w:rPr>
        <w:t xml:space="preserve">] % </w:t>
      </w:r>
      <w:r w:rsidRPr="002229B8">
        <w:t>of the contract's total value, the CA will initiate the procedures envisaged for contract termination referred to in the following Article 11.</w:t>
      </w:r>
    </w:p>
    <w:p w14:paraId="01C9714D" w14:textId="16071CF4" w:rsidR="007023D1" w:rsidRPr="002229B8" w:rsidRDefault="007023D1" w:rsidP="00B17E1F">
      <w:pPr>
        <w:pStyle w:val="Heading1"/>
        <w:numPr>
          <w:ilvl w:val="0"/>
          <w:numId w:val="2"/>
        </w:numPr>
        <w:ind w:left="567" w:hanging="567"/>
        <w:rPr>
          <w:rStyle w:val="Heading1Char"/>
          <w:b/>
        </w:rPr>
      </w:pPr>
      <w:bookmarkStart w:id="40" w:name="_Toc191487088"/>
      <w:r w:rsidRPr="002229B8">
        <w:rPr>
          <w:rStyle w:val="Heading1Char"/>
          <w:b/>
        </w:rPr>
        <w:t>Contract termination</w:t>
      </w:r>
      <w:bookmarkEnd w:id="40"/>
    </w:p>
    <w:p w14:paraId="280C57A3" w14:textId="56DAAAF4" w:rsidR="007023D1" w:rsidRPr="002229B8" w:rsidRDefault="007023D1" w:rsidP="007023D1">
      <w:pPr>
        <w:spacing w:after="240" w:afterAutospacing="0"/>
      </w:pPr>
      <w:r w:rsidRPr="002229B8">
        <w:t xml:space="preserve">The CA will proceed with contract termination for severe breaches of contractual obligations duly reported to the contractor. In such a scenario, the CM will include in a written report all contested breaches of contract, assigning the contractor a term of </w:t>
      </w:r>
      <w:r w:rsidRPr="002229B8">
        <w:rPr>
          <w:color w:val="C45911" w:themeColor="accent2" w:themeShade="BF"/>
        </w:rPr>
        <w:t>15 [</w:t>
      </w:r>
      <w:r w:rsidRPr="002229B8">
        <w:rPr>
          <w:i/>
          <w:iCs/>
          <w:color w:val="C45911" w:themeColor="accent2" w:themeShade="BF"/>
        </w:rPr>
        <w:t>or insert alternative term</w:t>
      </w:r>
      <w:r w:rsidRPr="002229B8">
        <w:rPr>
          <w:color w:val="C45911" w:themeColor="accent2" w:themeShade="BF"/>
        </w:rPr>
        <w:t>]</w:t>
      </w:r>
      <w:r w:rsidRPr="002229B8">
        <w:t xml:space="preserve"> natural and consecutive days (or a shorter term depending on the severity of the breaches), to fulfil all contractual obligations and/or to submit counter-arguments to the CM. If the aforesaid counterarguments</w:t>
      </w:r>
      <w:r w:rsidR="007042FE">
        <w:t>, once received,</w:t>
      </w:r>
      <w:r w:rsidRPr="002229B8">
        <w:t xml:space="preserve"> should be evaluated negatively, or if the term has expired without the contractor responding to or fulfilling the contractual obligations, the CM will proceed with contract termination without prejudice to the payment of penalties and the right to compensation for damage. The termination will be formally declared via a specific administrative provision with motivations and communicated to the contractor via certified email.</w:t>
      </w:r>
    </w:p>
    <w:p w14:paraId="7C8AD8B0" w14:textId="7759E9B3" w:rsidR="007023D1" w:rsidRPr="002229B8" w:rsidRDefault="007023D1" w:rsidP="007023D1">
      <w:pPr>
        <w:spacing w:after="240" w:afterAutospacing="0"/>
      </w:pPr>
      <w:r w:rsidRPr="002229B8">
        <w:t xml:space="preserve">In the event of termination of the contract or bankruptcy of the successful tenderer, the CA reserves the right to consult progressively the subjects who participated in this call for tenders in order to stipulate a new contract for the </w:t>
      </w:r>
      <w:r w:rsidR="000C550A" w:rsidRPr="002229B8">
        <w:t>service</w:t>
      </w:r>
      <w:r w:rsidRPr="002229B8">
        <w:t>. The new contract will be stipulated under the same conditions proposed by the original successful tenderer during the call for tenders.</w:t>
      </w:r>
    </w:p>
    <w:p w14:paraId="2A4B376B" w14:textId="77777777" w:rsidR="00A45334" w:rsidRPr="002229B8" w:rsidRDefault="00A45334" w:rsidP="00A45334">
      <w:pPr>
        <w:spacing w:before="240" w:beforeAutospacing="0" w:after="240" w:afterAutospacing="0"/>
      </w:pPr>
      <w:r w:rsidRPr="002229B8">
        <w:t>Moreover, the CA reserves the right to terminate the contract in the following circumstances:</w:t>
      </w:r>
    </w:p>
    <w:p w14:paraId="2299CA28" w14:textId="3C8E2CD0" w:rsidR="00A45334" w:rsidRPr="002229B8" w:rsidRDefault="00A45334" w:rsidP="00B17E1F">
      <w:pPr>
        <w:pStyle w:val="ListParagraph"/>
        <w:numPr>
          <w:ilvl w:val="0"/>
          <w:numId w:val="9"/>
        </w:numPr>
        <w:spacing w:before="240" w:beforeAutospacing="0" w:after="240" w:afterAutospacing="0"/>
      </w:pPr>
      <w:r w:rsidRPr="002229B8">
        <w:t>Failure to promptly resolve critical incidents</w:t>
      </w:r>
      <w:r w:rsidR="007042FE">
        <w:t xml:space="preserve"> and/or</w:t>
      </w:r>
      <w:r w:rsidRPr="002229B8">
        <w:t xml:space="preserve"> anomalies:</w:t>
      </w:r>
    </w:p>
    <w:p w14:paraId="00ED228C" w14:textId="77777777" w:rsidR="00A45334" w:rsidRPr="002229B8" w:rsidRDefault="00A45334" w:rsidP="00B17E1F">
      <w:pPr>
        <w:pStyle w:val="ListParagraph"/>
        <w:numPr>
          <w:ilvl w:val="1"/>
          <w:numId w:val="9"/>
        </w:numPr>
        <w:spacing w:before="240" w:beforeAutospacing="0" w:after="240" w:afterAutospacing="0"/>
      </w:pPr>
      <w:r w:rsidRPr="002229B8">
        <w:t xml:space="preserve">for a number of </w:t>
      </w:r>
      <w:r w:rsidRPr="002229B8">
        <w:rPr>
          <w:color w:val="C45911" w:themeColor="accent2" w:themeShade="BF"/>
        </w:rPr>
        <w:t>2 [</w:t>
      </w:r>
      <w:r w:rsidRPr="002229B8">
        <w:rPr>
          <w:i/>
          <w:iCs/>
          <w:color w:val="C45911" w:themeColor="accent2" w:themeShade="BF"/>
        </w:rPr>
        <w:t>or insert alternative term</w:t>
      </w:r>
      <w:r w:rsidRPr="002229B8">
        <w:rPr>
          <w:color w:val="C45911" w:themeColor="accent2" w:themeShade="BF"/>
        </w:rPr>
        <w:t>]</w:t>
      </w:r>
      <w:r w:rsidRPr="002229B8">
        <w:t xml:space="preserve"> SLA breaches regarding critical incidents in the </w:t>
      </w:r>
      <w:r w:rsidRPr="002229B8">
        <w:rPr>
          <w:color w:val="C45911" w:themeColor="accent2" w:themeShade="BF"/>
        </w:rPr>
        <w:t xml:space="preserve">12 </w:t>
      </w:r>
      <w:r w:rsidRPr="002229B8">
        <w:t xml:space="preserve">months </w:t>
      </w:r>
      <w:r w:rsidRPr="002229B8">
        <w:rPr>
          <w:color w:val="C45911" w:themeColor="accent2" w:themeShade="BF"/>
        </w:rPr>
        <w:t>[</w:t>
      </w:r>
      <w:r w:rsidRPr="002229B8">
        <w:rPr>
          <w:i/>
          <w:iCs/>
          <w:color w:val="C45911" w:themeColor="accent2" w:themeShade="BF"/>
        </w:rPr>
        <w:t>or insert alternative term</w:t>
      </w:r>
      <w:r w:rsidRPr="002229B8">
        <w:rPr>
          <w:color w:val="C45911" w:themeColor="accent2" w:themeShade="BF"/>
        </w:rPr>
        <w:t>]</w:t>
      </w:r>
      <w:r w:rsidRPr="002229B8">
        <w:t xml:space="preserve"> preceding the last SLA breach for a critical incident. Hence, a total of 3 </w:t>
      </w:r>
      <w:r w:rsidRPr="002229B8">
        <w:rPr>
          <w:color w:val="C45911" w:themeColor="accent2" w:themeShade="BF"/>
        </w:rPr>
        <w:t>[</w:t>
      </w:r>
      <w:r w:rsidRPr="002229B8">
        <w:rPr>
          <w:i/>
          <w:iCs/>
          <w:color w:val="C45911" w:themeColor="accent2" w:themeShade="BF"/>
        </w:rPr>
        <w:t>or insert alternative term</w:t>
      </w:r>
      <w:r w:rsidRPr="002229B8">
        <w:rPr>
          <w:color w:val="C45911" w:themeColor="accent2" w:themeShade="BF"/>
        </w:rPr>
        <w:t>]</w:t>
      </w:r>
      <w:r w:rsidRPr="002229B8">
        <w:t xml:space="preserve"> SLA breaches regarding critical incidents over a period of 12 months </w:t>
      </w:r>
      <w:r w:rsidRPr="002229B8">
        <w:rPr>
          <w:color w:val="C45911" w:themeColor="accent2" w:themeShade="BF"/>
        </w:rPr>
        <w:t>[</w:t>
      </w:r>
      <w:r w:rsidRPr="002229B8">
        <w:rPr>
          <w:i/>
          <w:iCs/>
          <w:color w:val="C45911" w:themeColor="accent2" w:themeShade="BF"/>
        </w:rPr>
        <w:t>or insert alternative term</w:t>
      </w:r>
      <w:r w:rsidRPr="002229B8">
        <w:rPr>
          <w:color w:val="C45911" w:themeColor="accent2" w:themeShade="BF"/>
        </w:rPr>
        <w:t>]</w:t>
      </w:r>
      <w:r w:rsidRPr="002229B8">
        <w:t>.</w:t>
      </w:r>
    </w:p>
    <w:p w14:paraId="24530950" w14:textId="77777777" w:rsidR="00A45334" w:rsidRPr="002229B8" w:rsidRDefault="00A45334" w:rsidP="00B17E1F">
      <w:pPr>
        <w:pStyle w:val="ListParagraph"/>
        <w:numPr>
          <w:ilvl w:val="0"/>
          <w:numId w:val="9"/>
        </w:numPr>
        <w:spacing w:before="240" w:beforeAutospacing="0" w:after="240" w:afterAutospacing="0"/>
      </w:pPr>
      <w:r w:rsidRPr="002229B8">
        <w:t xml:space="preserve">Defects: </w:t>
      </w:r>
    </w:p>
    <w:p w14:paraId="2098FB3C" w14:textId="77777777" w:rsidR="00A45334" w:rsidRPr="002229B8" w:rsidRDefault="00A45334" w:rsidP="00B17E1F">
      <w:pPr>
        <w:pStyle w:val="ListParagraph"/>
        <w:numPr>
          <w:ilvl w:val="1"/>
          <w:numId w:val="9"/>
        </w:numPr>
        <w:spacing w:before="240" w:beforeAutospacing="0" w:after="240" w:afterAutospacing="0"/>
        <w:ind w:left="1138"/>
        <w:contextualSpacing/>
      </w:pPr>
      <w:r w:rsidRPr="002229B8">
        <w:t xml:space="preserve">in the event of 5 </w:t>
      </w:r>
      <w:r w:rsidRPr="002229B8">
        <w:rPr>
          <w:color w:val="C45911" w:themeColor="accent2" w:themeShade="BF"/>
        </w:rPr>
        <w:t>[</w:t>
      </w:r>
      <w:r w:rsidRPr="002229B8">
        <w:rPr>
          <w:i/>
          <w:iCs/>
          <w:color w:val="C45911" w:themeColor="accent2" w:themeShade="BF"/>
        </w:rPr>
        <w:t>or insert alternative term</w:t>
      </w:r>
      <w:r w:rsidRPr="002229B8">
        <w:rPr>
          <w:color w:val="C45911" w:themeColor="accent2" w:themeShade="BF"/>
        </w:rPr>
        <w:t>]</w:t>
      </w:r>
      <w:r w:rsidRPr="002229B8">
        <w:t xml:space="preserve"> critical defects in the </w:t>
      </w:r>
      <w:r w:rsidRPr="002229B8">
        <w:rPr>
          <w:color w:val="C45911" w:themeColor="accent2" w:themeShade="BF"/>
        </w:rPr>
        <w:t xml:space="preserve">12 </w:t>
      </w:r>
      <w:r w:rsidRPr="002229B8">
        <w:t xml:space="preserve">months </w:t>
      </w:r>
      <w:r w:rsidRPr="002229B8">
        <w:rPr>
          <w:color w:val="C45911" w:themeColor="accent2" w:themeShade="BF"/>
        </w:rPr>
        <w:t>[</w:t>
      </w:r>
      <w:r w:rsidRPr="002229B8">
        <w:rPr>
          <w:i/>
          <w:iCs/>
          <w:color w:val="C45911" w:themeColor="accent2" w:themeShade="BF"/>
        </w:rPr>
        <w:t>or insert alternative term</w:t>
      </w:r>
      <w:r w:rsidRPr="002229B8">
        <w:rPr>
          <w:color w:val="C45911" w:themeColor="accent2" w:themeShade="BF"/>
        </w:rPr>
        <w:t>]</w:t>
      </w:r>
      <w:r w:rsidRPr="002229B8">
        <w:t xml:space="preserve"> preceding the last critical defect. Hence, a total of 6 </w:t>
      </w:r>
      <w:r w:rsidRPr="002229B8">
        <w:rPr>
          <w:color w:val="C45911" w:themeColor="accent2" w:themeShade="BF"/>
        </w:rPr>
        <w:t>[</w:t>
      </w:r>
      <w:r w:rsidRPr="002229B8">
        <w:rPr>
          <w:i/>
          <w:iCs/>
          <w:color w:val="C45911" w:themeColor="accent2" w:themeShade="BF"/>
        </w:rPr>
        <w:t>or insert alternative term</w:t>
      </w:r>
      <w:r w:rsidRPr="002229B8">
        <w:rPr>
          <w:color w:val="C45911" w:themeColor="accent2" w:themeShade="BF"/>
        </w:rPr>
        <w:t>]</w:t>
      </w:r>
      <w:r w:rsidRPr="002229B8">
        <w:t xml:space="preserve"> critical defects over a period of 12 months </w:t>
      </w:r>
      <w:r w:rsidRPr="002229B8">
        <w:rPr>
          <w:color w:val="C45911" w:themeColor="accent2" w:themeShade="BF"/>
        </w:rPr>
        <w:t>[</w:t>
      </w:r>
      <w:r w:rsidRPr="002229B8">
        <w:rPr>
          <w:i/>
          <w:iCs/>
          <w:color w:val="C45911" w:themeColor="accent2" w:themeShade="BF"/>
        </w:rPr>
        <w:t>or insert alternative term</w:t>
      </w:r>
      <w:r w:rsidRPr="002229B8">
        <w:rPr>
          <w:color w:val="C45911" w:themeColor="accent2" w:themeShade="BF"/>
        </w:rPr>
        <w:t>]</w:t>
      </w:r>
      <w:r w:rsidRPr="002229B8">
        <w:t>.</w:t>
      </w:r>
    </w:p>
    <w:p w14:paraId="27EB027B" w14:textId="77777777" w:rsidR="00A45334" w:rsidRPr="002229B8" w:rsidRDefault="00A45334" w:rsidP="00B17E1F">
      <w:pPr>
        <w:pStyle w:val="ListParagraph"/>
        <w:numPr>
          <w:ilvl w:val="1"/>
          <w:numId w:val="9"/>
        </w:numPr>
        <w:spacing w:before="240" w:beforeAutospacing="0" w:after="240" w:afterAutospacing="0"/>
      </w:pPr>
      <w:r w:rsidRPr="002229B8">
        <w:t xml:space="preserve">in the event of 30 </w:t>
      </w:r>
      <w:r w:rsidRPr="002229B8">
        <w:rPr>
          <w:color w:val="C45911" w:themeColor="accent2" w:themeShade="BF"/>
        </w:rPr>
        <w:t>[</w:t>
      </w:r>
      <w:r w:rsidRPr="002229B8">
        <w:rPr>
          <w:i/>
          <w:iCs/>
          <w:color w:val="C45911" w:themeColor="accent2" w:themeShade="BF"/>
        </w:rPr>
        <w:t>or insert alternative term</w:t>
      </w:r>
      <w:r w:rsidRPr="002229B8">
        <w:rPr>
          <w:color w:val="C45911" w:themeColor="accent2" w:themeShade="BF"/>
        </w:rPr>
        <w:t>]</w:t>
      </w:r>
      <w:r w:rsidRPr="002229B8">
        <w:t xml:space="preserve"> non-critical defects in the </w:t>
      </w:r>
      <w:r w:rsidRPr="002229B8">
        <w:rPr>
          <w:color w:val="C45911" w:themeColor="accent2" w:themeShade="BF"/>
        </w:rPr>
        <w:t xml:space="preserve">12 </w:t>
      </w:r>
      <w:r w:rsidRPr="002229B8">
        <w:t xml:space="preserve">months </w:t>
      </w:r>
      <w:r w:rsidRPr="002229B8">
        <w:rPr>
          <w:color w:val="C45911" w:themeColor="accent2" w:themeShade="BF"/>
        </w:rPr>
        <w:t>[</w:t>
      </w:r>
      <w:r w:rsidRPr="002229B8">
        <w:rPr>
          <w:i/>
          <w:iCs/>
          <w:color w:val="C45911" w:themeColor="accent2" w:themeShade="BF"/>
        </w:rPr>
        <w:t>or insert alternative term</w:t>
      </w:r>
      <w:r w:rsidRPr="002229B8">
        <w:rPr>
          <w:color w:val="C45911" w:themeColor="accent2" w:themeShade="BF"/>
        </w:rPr>
        <w:t>]</w:t>
      </w:r>
      <w:r w:rsidRPr="002229B8">
        <w:t xml:space="preserve"> preceding the last non-critical defect. Hence, a total of 31 </w:t>
      </w:r>
      <w:r w:rsidRPr="002229B8">
        <w:rPr>
          <w:color w:val="C45911" w:themeColor="accent2" w:themeShade="BF"/>
        </w:rPr>
        <w:t>[</w:t>
      </w:r>
      <w:r w:rsidRPr="002229B8">
        <w:rPr>
          <w:i/>
          <w:iCs/>
          <w:color w:val="C45911" w:themeColor="accent2" w:themeShade="BF"/>
        </w:rPr>
        <w:t>or insert alternative term</w:t>
      </w:r>
      <w:r w:rsidRPr="002229B8">
        <w:rPr>
          <w:color w:val="C45911" w:themeColor="accent2" w:themeShade="BF"/>
        </w:rPr>
        <w:t>]</w:t>
      </w:r>
      <w:r w:rsidRPr="002229B8">
        <w:t xml:space="preserve"> non-critical defects over a period of 12 months </w:t>
      </w:r>
      <w:r w:rsidRPr="002229B8">
        <w:rPr>
          <w:color w:val="C45911" w:themeColor="accent2" w:themeShade="BF"/>
        </w:rPr>
        <w:t>[</w:t>
      </w:r>
      <w:r w:rsidRPr="002229B8">
        <w:rPr>
          <w:i/>
          <w:iCs/>
          <w:color w:val="C45911" w:themeColor="accent2" w:themeShade="BF"/>
        </w:rPr>
        <w:t>or insert alternative term</w:t>
      </w:r>
      <w:r w:rsidRPr="002229B8">
        <w:rPr>
          <w:color w:val="C45911" w:themeColor="accent2" w:themeShade="BF"/>
        </w:rPr>
        <w:t>]</w:t>
      </w:r>
      <w:r w:rsidRPr="002229B8">
        <w:t>.</w:t>
      </w:r>
    </w:p>
    <w:p w14:paraId="7DCAE410" w14:textId="77777777" w:rsidR="00A45334" w:rsidRPr="002229B8" w:rsidRDefault="00A45334" w:rsidP="00B17E1F">
      <w:pPr>
        <w:pStyle w:val="ListParagraph"/>
        <w:numPr>
          <w:ilvl w:val="0"/>
          <w:numId w:val="9"/>
        </w:numPr>
        <w:spacing w:before="240" w:beforeAutospacing="0" w:after="240" w:afterAutospacing="0"/>
      </w:pPr>
      <w:r w:rsidRPr="002229B8">
        <w:lastRenderedPageBreak/>
        <w:t xml:space="preserve">In the event of the application of 20 </w:t>
      </w:r>
      <w:r w:rsidRPr="002229B8">
        <w:rPr>
          <w:color w:val="C45911" w:themeColor="accent2" w:themeShade="BF"/>
        </w:rPr>
        <w:t>[</w:t>
      </w:r>
      <w:r w:rsidRPr="002229B8">
        <w:rPr>
          <w:i/>
          <w:iCs/>
          <w:color w:val="C45911" w:themeColor="accent2" w:themeShade="BF"/>
        </w:rPr>
        <w:t>or insert alternative term</w:t>
      </w:r>
      <w:r w:rsidRPr="002229B8">
        <w:rPr>
          <w:color w:val="C45911" w:themeColor="accent2" w:themeShade="BF"/>
        </w:rPr>
        <w:t>] penalties throughout the duration of the contract</w:t>
      </w:r>
      <w:r w:rsidRPr="002229B8">
        <w:t xml:space="preserve">. </w:t>
      </w:r>
    </w:p>
    <w:p w14:paraId="75A7CBEC" w14:textId="740A3BCE" w:rsidR="007023D1" w:rsidRPr="002229B8" w:rsidRDefault="007023D1" w:rsidP="007023D1">
      <w:pPr>
        <w:spacing w:after="240" w:afterAutospacing="0"/>
      </w:pPr>
      <w:r w:rsidRPr="002229B8">
        <w:t>Finally, the contractor may terminate the contract if the CA fails to comply with its obligations, in particular, the obligation to provide the information needed for the contractor to perform the contract as provided for in the tender specifications.</w:t>
      </w:r>
    </w:p>
    <w:p w14:paraId="414723D5" w14:textId="77777777" w:rsidR="007023D1" w:rsidRPr="002229B8" w:rsidRDefault="007023D1" w:rsidP="00B17E1F">
      <w:pPr>
        <w:pStyle w:val="Heading1"/>
        <w:numPr>
          <w:ilvl w:val="0"/>
          <w:numId w:val="2"/>
        </w:numPr>
        <w:ind w:left="567" w:hanging="567"/>
      </w:pPr>
      <w:r w:rsidRPr="002229B8">
        <w:t xml:space="preserve"> </w:t>
      </w:r>
      <w:bookmarkStart w:id="41" w:name="_Toc191487089"/>
      <w:r w:rsidRPr="002229B8">
        <w:rPr>
          <w:rStyle w:val="Heading1Char"/>
          <w:b/>
        </w:rPr>
        <w:t>Withdrawal</w:t>
      </w:r>
      <w:bookmarkEnd w:id="41"/>
    </w:p>
    <w:p w14:paraId="61366909" w14:textId="21558E94" w:rsidR="007023D1" w:rsidRPr="002229B8" w:rsidRDefault="007023D1" w:rsidP="007023D1">
      <w:r w:rsidRPr="002229B8">
        <w:t>The CA may exercise the right to withdraw the contract at any time upon liquidation of the performed services</w:t>
      </w:r>
      <w:r w:rsidR="00FD15D4">
        <w:t>.</w:t>
      </w:r>
      <w:r w:rsidRPr="002229B8">
        <w:t xml:space="preserve"> </w:t>
      </w:r>
    </w:p>
    <w:p w14:paraId="7F68631F" w14:textId="6D54F313" w:rsidR="007023D1" w:rsidRPr="002229B8" w:rsidRDefault="007023D1" w:rsidP="007023D1">
      <w:pPr>
        <w:spacing w:after="360" w:afterAutospacing="0"/>
      </w:pPr>
      <w:r w:rsidRPr="002229B8">
        <w:t xml:space="preserve">The exercise of the right of withdrawal must be preceded by a formal notification to the contractor with a notice period of no less than </w:t>
      </w:r>
      <w:r w:rsidRPr="002229B8">
        <w:rPr>
          <w:color w:val="C45911" w:themeColor="accent2" w:themeShade="BF"/>
        </w:rPr>
        <w:t>20 [</w:t>
      </w:r>
      <w:r w:rsidRPr="002229B8">
        <w:rPr>
          <w:i/>
          <w:iCs/>
          <w:color w:val="C45911" w:themeColor="accent2" w:themeShade="BF"/>
        </w:rPr>
        <w:t>or insert alternative term</w:t>
      </w:r>
      <w:r w:rsidRPr="002229B8">
        <w:rPr>
          <w:color w:val="C45911" w:themeColor="accent2" w:themeShade="BF"/>
        </w:rPr>
        <w:t xml:space="preserve">] </w:t>
      </w:r>
      <w:r w:rsidRPr="002229B8">
        <w:t>days.</w:t>
      </w:r>
    </w:p>
    <w:p w14:paraId="62AF88D5" w14:textId="77777777" w:rsidR="007023D1" w:rsidRPr="002229B8" w:rsidRDefault="007023D1" w:rsidP="00B17E1F">
      <w:pPr>
        <w:pStyle w:val="Heading1"/>
        <w:numPr>
          <w:ilvl w:val="0"/>
          <w:numId w:val="2"/>
        </w:numPr>
        <w:ind w:left="567" w:hanging="567"/>
        <w:rPr>
          <w:rStyle w:val="Heading1Char"/>
          <w:b/>
        </w:rPr>
      </w:pPr>
      <w:bookmarkStart w:id="42" w:name="_Toc191487090"/>
      <w:r w:rsidRPr="002229B8">
        <w:rPr>
          <w:rStyle w:val="Heading1Char"/>
          <w:b/>
        </w:rPr>
        <w:t>Technical background</w:t>
      </w:r>
      <w:bookmarkEnd w:id="42"/>
      <w:r w:rsidRPr="002229B8">
        <w:rPr>
          <w:rStyle w:val="Heading1Char"/>
          <w:b/>
        </w:rPr>
        <w:t xml:space="preserve"> </w:t>
      </w:r>
    </w:p>
    <w:p w14:paraId="44E558E0" w14:textId="2687DB95" w:rsidR="00AA4331" w:rsidRPr="002229B8" w:rsidRDefault="00AA4331" w:rsidP="00AA4331">
      <w:pPr>
        <w:spacing w:before="0" w:beforeAutospacing="0" w:after="160" w:afterAutospacing="0" w:line="259" w:lineRule="auto"/>
      </w:pPr>
      <w:r w:rsidRPr="002229B8">
        <w:t>Software development services play a pivotal role in enabling communities to build, deploy, and maintain robust digital solutions that address complex operational needs. These services encompass a wide range of activities, including custom software design, development, testing, and maintenance, tailored to meet specific requirements. By leveraging state-of-the-art methodologies and tools, software development services ensure scalability, security, and high performance, empowering cities to streamline processes, enhance user experiences, and achieve their digital transformation goals.</w:t>
      </w:r>
    </w:p>
    <w:p w14:paraId="2D8F6670" w14:textId="77777777" w:rsidR="00AA4331" w:rsidRPr="002229B8" w:rsidRDefault="00AA4331" w:rsidP="00AA4331">
      <w:pPr>
        <w:spacing w:before="0" w:beforeAutospacing="0" w:after="160" w:afterAutospacing="0" w:line="259" w:lineRule="auto"/>
      </w:pPr>
      <w:r w:rsidRPr="002229B8">
        <w:t>Middleware software plays a critical role in modern software development services by serving as a bridge that connects different applications, systems, and services. It enables seamless communication and data exchange across heterogeneous environments, fostering interoperability and reducing complexity in software ecosystems. Middleware acts as a key enabler for distributed systems, providing tools and functionalities that support data integration, message routing, and transaction management.</w:t>
      </w:r>
    </w:p>
    <w:p w14:paraId="7159A117" w14:textId="77777777" w:rsidR="00AA4331" w:rsidRPr="002229B8" w:rsidRDefault="00AA4331" w:rsidP="00AA4331">
      <w:pPr>
        <w:spacing w:before="0" w:beforeAutospacing="0" w:after="160" w:afterAutospacing="0" w:line="259" w:lineRule="auto"/>
      </w:pPr>
      <w:r w:rsidRPr="002229B8">
        <w:t>In the context of software development services, middleware ensures that applications can operate efficiently in diverse architectures, including cloud, on-premises, and hybrid environments. It provides developers with reusable components and services, accelerating development timelines while maintaining flexibility and scalability. Middleware also enhances the overall reliability and security of software solutions by offering robust mechanisms for authentication, encryption, and error handling.</w:t>
      </w:r>
    </w:p>
    <w:p w14:paraId="1BB3E5B5" w14:textId="1685D75C" w:rsidR="00363713" w:rsidRPr="002229B8" w:rsidRDefault="00AA4331" w:rsidP="00AA4331">
      <w:pPr>
        <w:spacing w:before="0" w:beforeAutospacing="0" w:after="160" w:afterAutospacing="0" w:line="259" w:lineRule="auto"/>
        <w:rPr>
          <w:rFonts w:eastAsia="Times New Roman Bold"/>
          <w:color w:val="000000" w:themeColor="text1"/>
        </w:rPr>
      </w:pPr>
      <w:r w:rsidRPr="002229B8">
        <w:t>Through its ability to streamline processes and support complex workflows, middleware software empowers cities to build, integrate, and deploy tailored applications that address their unique operational and strategic needs. This ensures that community services remain adaptable, scalable, and capable of meeting evolving demands</w:t>
      </w:r>
      <w:r w:rsidR="00490007" w:rsidRPr="002229B8">
        <w:t>.</w:t>
      </w:r>
    </w:p>
    <w:p w14:paraId="5C6F48FD" w14:textId="334882EB" w:rsidR="00821E8E" w:rsidRPr="002229B8" w:rsidRDefault="007023D1" w:rsidP="00B17E1F">
      <w:pPr>
        <w:pStyle w:val="Heading1"/>
        <w:numPr>
          <w:ilvl w:val="0"/>
          <w:numId w:val="2"/>
        </w:numPr>
        <w:ind w:left="567" w:hanging="567"/>
        <w:rPr>
          <w:rStyle w:val="Heading1Char"/>
          <w:b/>
        </w:rPr>
      </w:pPr>
      <w:bookmarkStart w:id="43" w:name="_Toc191487091"/>
      <w:r w:rsidRPr="002229B8">
        <w:rPr>
          <w:rStyle w:val="Heading1Char"/>
          <w:b/>
        </w:rPr>
        <w:lastRenderedPageBreak/>
        <w:t>Description and technical specifications</w:t>
      </w:r>
      <w:bookmarkEnd w:id="43"/>
      <w:r w:rsidRPr="002229B8">
        <w:rPr>
          <w:rStyle w:val="Heading1Char"/>
          <w:b/>
        </w:rPr>
        <w:t xml:space="preserve"> </w:t>
      </w:r>
    </w:p>
    <w:p w14:paraId="608BDB81" w14:textId="735C8137" w:rsidR="00821E8E" w:rsidRPr="002229B8" w:rsidRDefault="00821E8E" w:rsidP="00821E8E">
      <w:r w:rsidRPr="002229B8">
        <w:t>The category of</w:t>
      </w:r>
      <w:r w:rsidR="007877E8" w:rsidRPr="002229B8">
        <w:t xml:space="preserve"> </w:t>
      </w:r>
      <w:r w:rsidR="00A405FE" w:rsidRPr="002229B8">
        <w:t>Software development services is essential for creating, deploying, and managing tailored digital solutions that address diverse and complex operational challenges. These services cover a broad spectrum of activities, including designing, developing, testing, and maintaining custom software to meet unique requirements.</w:t>
      </w:r>
    </w:p>
    <w:p w14:paraId="4F6EB3C2" w14:textId="77777777" w:rsidR="007023D1" w:rsidRPr="002229B8" w:rsidRDefault="007023D1" w:rsidP="00B17E1F">
      <w:pPr>
        <w:pStyle w:val="Heading1"/>
        <w:numPr>
          <w:ilvl w:val="0"/>
          <w:numId w:val="2"/>
        </w:numPr>
        <w:ind w:left="567" w:hanging="567"/>
        <w:rPr>
          <w:rStyle w:val="Heading1Char"/>
          <w:b/>
          <w:bCs/>
        </w:rPr>
      </w:pPr>
      <w:bookmarkStart w:id="44" w:name="_Toc191487092"/>
      <w:r w:rsidRPr="002229B8">
        <w:rPr>
          <w:rStyle w:val="Heading1Char"/>
          <w:b/>
          <w:bCs/>
        </w:rPr>
        <w:t>Functional and technical requirements</w:t>
      </w:r>
      <w:bookmarkEnd w:id="44"/>
    </w:p>
    <w:p w14:paraId="64F2FFC0" w14:textId="77777777" w:rsidR="007023D1" w:rsidRPr="00AF0E2A" w:rsidRDefault="007023D1" w:rsidP="00B17E1F">
      <w:pPr>
        <w:pStyle w:val="Heading2"/>
        <w:keepLines/>
        <w:numPr>
          <w:ilvl w:val="1"/>
          <w:numId w:val="2"/>
        </w:numPr>
        <w:spacing w:before="100" w:beforeAutospacing="1"/>
        <w:ind w:left="936" w:hanging="576"/>
        <w:rPr>
          <w:rFonts w:eastAsiaTheme="majorEastAsia" w:cstheme="majorBidi"/>
          <w:u w:val="none"/>
        </w:rPr>
      </w:pPr>
      <w:bookmarkStart w:id="45" w:name="_Toc191487093"/>
      <w:r w:rsidRPr="00AF0E2A">
        <w:rPr>
          <w:rFonts w:eastAsiaTheme="majorEastAsia" w:cstheme="majorBidi"/>
          <w:u w:val="none"/>
        </w:rPr>
        <w:t>Functional requirements:</w:t>
      </w:r>
      <w:bookmarkEnd w:id="45"/>
      <w:r w:rsidRPr="00AF0E2A">
        <w:rPr>
          <w:rFonts w:eastAsiaTheme="majorEastAsia" w:cstheme="majorBidi"/>
          <w:u w:val="none"/>
        </w:rPr>
        <w:t xml:space="preserve"> </w:t>
      </w:r>
    </w:p>
    <w:p w14:paraId="03AFB1FA" w14:textId="77777777" w:rsidR="00FF75FC" w:rsidRPr="002229B8" w:rsidRDefault="00FF75FC" w:rsidP="00FF75FC">
      <w:pPr>
        <w:spacing w:before="240" w:beforeAutospacing="0" w:after="240" w:afterAutospacing="0"/>
        <w:rPr>
          <w:color w:val="C45911" w:themeColor="accent2" w:themeShade="BF"/>
        </w:rPr>
      </w:pPr>
      <w:r w:rsidRPr="002229B8">
        <w:rPr>
          <w:color w:val="C45911" w:themeColor="accent2" w:themeShade="BF"/>
        </w:rPr>
        <w:t>[</w:t>
      </w:r>
      <w:r w:rsidRPr="002229B8">
        <w:rPr>
          <w:b/>
          <w:color w:val="C45911" w:themeColor="accent2" w:themeShade="BF"/>
        </w:rPr>
        <w:t xml:space="preserve">Please note: </w:t>
      </w:r>
      <w:r w:rsidRPr="002229B8">
        <w:rPr>
          <w:i/>
          <w:iCs/>
          <w:color w:val="C45911" w:themeColor="accent2" w:themeShade="BF"/>
        </w:rPr>
        <w:t>Quantification of desired (minimum) values/ranges of values for each of the following functional requirements needs to be further adjusted on the basis of the specific object of procurement and the city or community’s needs.</w:t>
      </w:r>
      <w:r w:rsidRPr="002229B8">
        <w:rPr>
          <w:color w:val="C45911" w:themeColor="accent2" w:themeShade="BF"/>
        </w:rPr>
        <w:t>]</w:t>
      </w:r>
    </w:p>
    <w:p w14:paraId="15B12CDD" w14:textId="51A8AD69" w:rsidR="00FF75FC" w:rsidRPr="002229B8" w:rsidRDefault="00FF75FC" w:rsidP="00FF75FC">
      <w:pPr>
        <w:spacing w:before="240" w:beforeAutospacing="0" w:after="240" w:afterAutospacing="0"/>
      </w:pPr>
      <w:r w:rsidRPr="002229B8">
        <w:t xml:space="preserve">The </w:t>
      </w:r>
      <w:r w:rsidR="00B20675" w:rsidRPr="002229B8">
        <w:t>software</w:t>
      </w:r>
      <w:r w:rsidRPr="002229B8">
        <w:t xml:space="preserve"> solution</w:t>
      </w:r>
      <w:r w:rsidR="00B20675" w:rsidRPr="002229B8">
        <w:t>s</w:t>
      </w:r>
      <w:r w:rsidRPr="002229B8">
        <w:t xml:space="preserve"> should adhere to the following functional requirements:</w:t>
      </w:r>
    </w:p>
    <w:p w14:paraId="6A34CF7C" w14:textId="7978C0CC" w:rsidR="00BD38A9" w:rsidRPr="002229B8" w:rsidRDefault="00BD38A9" w:rsidP="00B17E1F">
      <w:pPr>
        <w:pStyle w:val="ListParagraph"/>
        <w:numPr>
          <w:ilvl w:val="0"/>
          <w:numId w:val="25"/>
        </w:numPr>
        <w:spacing w:before="240" w:beforeAutospacing="0" w:after="240" w:afterAutospacing="0" w:line="259" w:lineRule="auto"/>
        <w:ind w:left="714" w:hanging="357"/>
      </w:pPr>
      <w:r w:rsidRPr="002229B8">
        <w:t xml:space="preserve">Connect existing databases, live measurement systems and other relevant IT infrastructure of a city (referred to as </w:t>
      </w:r>
      <w:r w:rsidRPr="002229B8">
        <w:rPr>
          <w:i/>
          <w:iCs/>
        </w:rPr>
        <w:t>city data systems</w:t>
      </w:r>
      <w:r w:rsidRPr="002229B8">
        <w:t>)  to the LDT backend, translating the different data entities to a format that is expected by the LDT.</w:t>
      </w:r>
    </w:p>
    <w:p w14:paraId="0708B3F3" w14:textId="77777777" w:rsidR="00BD38A9" w:rsidRPr="002229B8" w:rsidRDefault="00BD38A9" w:rsidP="00B17E1F">
      <w:pPr>
        <w:pStyle w:val="ListParagraph"/>
        <w:numPr>
          <w:ilvl w:val="0"/>
          <w:numId w:val="25"/>
        </w:numPr>
        <w:spacing w:before="240" w:beforeAutospacing="0" w:after="240" w:afterAutospacing="0" w:line="259" w:lineRule="auto"/>
        <w:ind w:left="714" w:hanging="357"/>
      </w:pPr>
      <w:r w:rsidRPr="002229B8">
        <w:t xml:space="preserve">Support city data systems with hybrid solutions combining both on-premises and cloud data storage.  </w:t>
      </w:r>
    </w:p>
    <w:p w14:paraId="73EC13F7" w14:textId="77777777" w:rsidR="00BD38A9" w:rsidRPr="002229B8" w:rsidRDefault="00BD38A9" w:rsidP="00B17E1F">
      <w:pPr>
        <w:pStyle w:val="ListParagraph"/>
        <w:numPr>
          <w:ilvl w:val="0"/>
          <w:numId w:val="25"/>
        </w:numPr>
        <w:spacing w:before="240" w:beforeAutospacing="0" w:after="240" w:afterAutospacing="0" w:line="259" w:lineRule="auto"/>
        <w:ind w:left="714" w:hanging="357"/>
      </w:pPr>
      <w:r w:rsidRPr="002229B8">
        <w:t>Provide a security level equal to the lowest common denominator security of the systems that are being connected.</w:t>
      </w:r>
    </w:p>
    <w:p w14:paraId="42C6EEC1" w14:textId="77777777" w:rsidR="00BD38A9" w:rsidRPr="002229B8" w:rsidRDefault="00BD38A9" w:rsidP="00B17E1F">
      <w:pPr>
        <w:pStyle w:val="ListParagraph"/>
        <w:numPr>
          <w:ilvl w:val="0"/>
          <w:numId w:val="25"/>
        </w:numPr>
        <w:spacing w:before="240" w:beforeAutospacing="0" w:after="240" w:afterAutospacing="0" w:line="259" w:lineRule="auto"/>
        <w:ind w:left="714" w:hanging="357"/>
      </w:pPr>
      <w:r w:rsidRPr="002229B8">
        <w:t>Regularly update the middleware solution and underlying components to address security patches and bug fixes.</w:t>
      </w:r>
    </w:p>
    <w:p w14:paraId="64C23E0C" w14:textId="28895336" w:rsidR="00BD38A9" w:rsidRPr="002229B8" w:rsidRDefault="00BD38A9" w:rsidP="00B17E1F">
      <w:pPr>
        <w:pStyle w:val="ListParagraph"/>
        <w:numPr>
          <w:ilvl w:val="0"/>
          <w:numId w:val="25"/>
        </w:numPr>
        <w:spacing w:before="240" w:beforeAutospacing="0" w:after="240" w:afterAutospacing="0" w:line="259" w:lineRule="auto"/>
        <w:ind w:left="714" w:hanging="357"/>
      </w:pPr>
      <w:r w:rsidRPr="002229B8">
        <w:t>Minimi</w:t>
      </w:r>
      <w:r w:rsidR="00B627D6">
        <w:t>s</w:t>
      </w:r>
      <w:r w:rsidRPr="002229B8">
        <w:t xml:space="preserve">e intermediate data storage to reduce the exposure surface of the data and rely as much as possible on </w:t>
      </w:r>
      <w:r w:rsidR="007E62AE">
        <w:t xml:space="preserve">the </w:t>
      </w:r>
      <w:r w:rsidRPr="002229B8">
        <w:t>existing data security infrastructure of LDT and city data systems.</w:t>
      </w:r>
    </w:p>
    <w:p w14:paraId="0AD34DB2" w14:textId="374A1742" w:rsidR="00BD38A9" w:rsidRPr="002229B8" w:rsidRDefault="00BD38A9" w:rsidP="00B17E1F">
      <w:pPr>
        <w:pStyle w:val="ListParagraph"/>
        <w:numPr>
          <w:ilvl w:val="0"/>
          <w:numId w:val="25"/>
        </w:numPr>
        <w:spacing w:before="240" w:beforeAutospacing="0" w:after="240" w:afterAutospacing="0" w:line="259" w:lineRule="auto"/>
        <w:ind w:left="714" w:hanging="357"/>
      </w:pPr>
      <w:r w:rsidRPr="002229B8">
        <w:t xml:space="preserve">Provide the LDT access to the city data systems by periodically syncing data from city data systems to </w:t>
      </w:r>
      <w:r w:rsidR="007E62AE">
        <w:t xml:space="preserve">the </w:t>
      </w:r>
      <w:r w:rsidRPr="002229B8">
        <w:t xml:space="preserve">LDT and/or by providing a gateway through which the LDT can access the city data systems directly. </w:t>
      </w:r>
    </w:p>
    <w:p w14:paraId="67585863" w14:textId="16F4837D" w:rsidR="00BD38A9" w:rsidRPr="002229B8" w:rsidRDefault="00BD38A9" w:rsidP="00B17E1F">
      <w:pPr>
        <w:pStyle w:val="ListParagraph"/>
        <w:numPr>
          <w:ilvl w:val="0"/>
          <w:numId w:val="25"/>
        </w:numPr>
        <w:spacing w:before="240" w:beforeAutospacing="0" w:after="240" w:afterAutospacing="0" w:line="259" w:lineRule="auto"/>
        <w:ind w:left="714" w:hanging="357"/>
      </w:pPr>
      <w:r w:rsidRPr="002229B8">
        <w:t xml:space="preserve">Provide </w:t>
      </w:r>
      <w:r w:rsidR="007E62AE">
        <w:t xml:space="preserve">an option to sync data from LDT to the city data system for </w:t>
      </w:r>
      <w:r w:rsidRPr="002229B8">
        <w:t>full two-way integration.</w:t>
      </w:r>
    </w:p>
    <w:p w14:paraId="4343CD0B" w14:textId="4DFB4A5E" w:rsidR="00BD38A9" w:rsidRPr="002229B8" w:rsidRDefault="00BD38A9" w:rsidP="00B17E1F">
      <w:pPr>
        <w:pStyle w:val="ListParagraph"/>
        <w:numPr>
          <w:ilvl w:val="0"/>
          <w:numId w:val="25"/>
        </w:numPr>
        <w:spacing w:before="240" w:beforeAutospacing="0" w:after="240" w:afterAutospacing="0" w:line="259" w:lineRule="auto"/>
        <w:ind w:left="714" w:hanging="357"/>
      </w:pPr>
      <w:r w:rsidRPr="002229B8">
        <w:t xml:space="preserve">After </w:t>
      </w:r>
      <w:r w:rsidR="00580832">
        <w:t xml:space="preserve">the </w:t>
      </w:r>
      <w:r w:rsidRPr="002229B8">
        <w:t>initial synchroni</w:t>
      </w:r>
      <w:r w:rsidR="00B627D6">
        <w:t>s</w:t>
      </w:r>
      <w:r w:rsidRPr="002229B8">
        <w:t>ation</w:t>
      </w:r>
      <w:r w:rsidR="002A6C99">
        <w:t>,</w:t>
      </w:r>
      <w:r w:rsidRPr="002229B8">
        <w:t xml:space="preserve"> allow for fast synchroni</w:t>
      </w:r>
      <w:r w:rsidR="00B627D6">
        <w:t>s</w:t>
      </w:r>
      <w:r w:rsidRPr="002229B8">
        <w:t xml:space="preserve">ation between systems such that there is no perceivable impact on the use of the LDT, preferably </w:t>
      </w:r>
      <w:r w:rsidR="002A6C99">
        <w:t xml:space="preserve">in </w:t>
      </w:r>
      <w:r w:rsidRPr="002229B8">
        <w:t>real-time.</w:t>
      </w:r>
    </w:p>
    <w:p w14:paraId="1B1DFB3C" w14:textId="1BB6AA07" w:rsidR="00BD38A9" w:rsidRPr="002229B8" w:rsidRDefault="00BD38A9" w:rsidP="00B17E1F">
      <w:pPr>
        <w:pStyle w:val="ListParagraph"/>
        <w:numPr>
          <w:ilvl w:val="0"/>
          <w:numId w:val="25"/>
        </w:numPr>
        <w:spacing w:before="240" w:beforeAutospacing="0" w:after="240" w:afterAutospacing="0" w:line="259" w:lineRule="auto"/>
        <w:ind w:left="714" w:hanging="357"/>
      </w:pPr>
      <w:r w:rsidRPr="002229B8">
        <w:t>Allow for dry-run synchroni</w:t>
      </w:r>
      <w:r w:rsidR="00B627D6">
        <w:t>s</w:t>
      </w:r>
      <w:r w:rsidRPr="002229B8">
        <w:t>ations, showing what will be changed without actually writing any data in the LDT.</w:t>
      </w:r>
    </w:p>
    <w:p w14:paraId="683BF746" w14:textId="77777777" w:rsidR="00BD38A9" w:rsidRPr="002229B8" w:rsidRDefault="00BD38A9" w:rsidP="00B17E1F">
      <w:pPr>
        <w:pStyle w:val="ListParagraph"/>
        <w:numPr>
          <w:ilvl w:val="0"/>
          <w:numId w:val="25"/>
        </w:numPr>
        <w:spacing w:before="240" w:beforeAutospacing="0" w:after="240" w:afterAutospacing="0" w:line="259" w:lineRule="auto"/>
        <w:ind w:left="714" w:hanging="357"/>
      </w:pPr>
      <w:r w:rsidRPr="002229B8">
        <w:lastRenderedPageBreak/>
        <w:t>Allow for flexibility in the translation mapping between entities in the city data systems to the LDT, providing both systems (city and LDT) with room to change their data schemas to some extent.</w:t>
      </w:r>
    </w:p>
    <w:p w14:paraId="5F8A2766" w14:textId="77777777" w:rsidR="00BD38A9" w:rsidRPr="002229B8" w:rsidRDefault="00BD38A9" w:rsidP="00B17E1F">
      <w:pPr>
        <w:pStyle w:val="ListParagraph"/>
        <w:numPr>
          <w:ilvl w:val="0"/>
          <w:numId w:val="25"/>
        </w:numPr>
        <w:spacing w:before="240" w:beforeAutospacing="0" w:after="240" w:afterAutospacing="0" w:line="259" w:lineRule="auto"/>
        <w:ind w:left="714" w:hanging="357"/>
      </w:pPr>
      <w:r w:rsidRPr="002229B8">
        <w:t>Provide capabilities to clean, transform and enrich data from city data systems using common programming languages.</w:t>
      </w:r>
    </w:p>
    <w:p w14:paraId="52164E44" w14:textId="0BBB0672" w:rsidR="00BD38A9" w:rsidRPr="002229B8" w:rsidRDefault="002A6C99" w:rsidP="00B17E1F">
      <w:pPr>
        <w:pStyle w:val="ListParagraph"/>
        <w:numPr>
          <w:ilvl w:val="0"/>
          <w:numId w:val="25"/>
        </w:numPr>
        <w:spacing w:before="240" w:beforeAutospacing="0" w:after="240" w:afterAutospacing="0" w:line="259" w:lineRule="auto"/>
        <w:ind w:left="714" w:hanging="357"/>
      </w:pPr>
      <w:r>
        <w:t>Proactively</w:t>
      </w:r>
      <w:r w:rsidR="00BD38A9" w:rsidRPr="002229B8">
        <w:t xml:space="preserve"> report on the quality of data translation and alert when an error is encountered, preferably disclosing this information (also) via a monitoring API.</w:t>
      </w:r>
    </w:p>
    <w:p w14:paraId="3CC57B38" w14:textId="6E73E03C" w:rsidR="00BD38A9" w:rsidRPr="002229B8" w:rsidRDefault="00BD38A9" w:rsidP="00B17E1F">
      <w:pPr>
        <w:pStyle w:val="ListParagraph"/>
        <w:numPr>
          <w:ilvl w:val="0"/>
          <w:numId w:val="25"/>
        </w:numPr>
        <w:spacing w:before="240" w:beforeAutospacing="0" w:after="240" w:afterAutospacing="0" w:line="259" w:lineRule="auto"/>
        <w:ind w:left="714" w:hanging="357"/>
      </w:pPr>
      <w:r w:rsidRPr="002229B8">
        <w:t>Take measures to optimi</w:t>
      </w:r>
      <w:r w:rsidR="00B627D6">
        <w:t>s</w:t>
      </w:r>
      <w:r w:rsidRPr="002229B8">
        <w:t>e the LDT load on the city data systems.</w:t>
      </w:r>
    </w:p>
    <w:p w14:paraId="7F14D820" w14:textId="2577892C" w:rsidR="00BD38A9" w:rsidRPr="002229B8" w:rsidRDefault="00BD38A9" w:rsidP="00B17E1F">
      <w:pPr>
        <w:pStyle w:val="ListParagraph"/>
        <w:numPr>
          <w:ilvl w:val="0"/>
          <w:numId w:val="25"/>
        </w:numPr>
        <w:spacing w:before="240" w:beforeAutospacing="0" w:after="240" w:afterAutospacing="0" w:line="259" w:lineRule="auto"/>
        <w:ind w:left="714" w:hanging="357"/>
      </w:pPr>
      <w:r w:rsidRPr="002229B8">
        <w:t xml:space="preserve">High availability: ensuring system availability through redundancy and failover </w:t>
      </w:r>
      <w:r w:rsidR="002A6C99">
        <w:t>mechanisms</w:t>
      </w:r>
      <w:r w:rsidRPr="002229B8">
        <w:t xml:space="preserve"> to minimi</w:t>
      </w:r>
      <w:r w:rsidR="00B627D6">
        <w:t>s</w:t>
      </w:r>
      <w:r w:rsidRPr="002229B8">
        <w:t>e downtime.</w:t>
      </w:r>
    </w:p>
    <w:p w14:paraId="5DB43A16" w14:textId="75D6273C" w:rsidR="00BD38A9" w:rsidRPr="002229B8" w:rsidRDefault="00BD38A9" w:rsidP="00B17E1F">
      <w:pPr>
        <w:pStyle w:val="ListParagraph"/>
        <w:numPr>
          <w:ilvl w:val="0"/>
          <w:numId w:val="25"/>
        </w:numPr>
        <w:spacing w:before="240" w:beforeAutospacing="0" w:after="240" w:afterAutospacing="0" w:line="259" w:lineRule="auto"/>
        <w:ind w:left="714" w:hanging="357"/>
      </w:pPr>
      <w:r w:rsidRPr="002229B8">
        <w:t xml:space="preserve">Provide </w:t>
      </w:r>
      <w:r w:rsidR="002A6C99">
        <w:t xml:space="preserve">the </w:t>
      </w:r>
      <w:r w:rsidRPr="002229B8">
        <w:t>option to log all data transformations between city data systems and LDT such that unexpected data in the LDT can be traced back to its source in the city data systems, revealing where the unexpected data is introduced.</w:t>
      </w:r>
    </w:p>
    <w:p w14:paraId="71DB378C" w14:textId="77777777" w:rsidR="00BD38A9" w:rsidRPr="002229B8" w:rsidRDefault="00BD38A9" w:rsidP="00B17E1F">
      <w:pPr>
        <w:pStyle w:val="ListParagraph"/>
        <w:numPr>
          <w:ilvl w:val="0"/>
          <w:numId w:val="25"/>
        </w:numPr>
        <w:spacing w:before="240" w:beforeAutospacing="0" w:after="240" w:afterAutospacing="0" w:line="259" w:lineRule="auto"/>
        <w:ind w:left="714" w:hanging="357"/>
      </w:pPr>
      <w:r w:rsidRPr="002229B8">
        <w:t>Vendor support: access to vendor support services for troubleshooting and maintaining software components of the middleware solution.</w:t>
      </w:r>
    </w:p>
    <w:p w14:paraId="703BCC22" w14:textId="28187D38" w:rsidR="00E36775" w:rsidRPr="002229B8" w:rsidRDefault="00BD38A9" w:rsidP="00B17E1F">
      <w:pPr>
        <w:pStyle w:val="ListParagraph"/>
        <w:numPr>
          <w:ilvl w:val="0"/>
          <w:numId w:val="25"/>
        </w:numPr>
        <w:spacing w:before="240" w:beforeAutospacing="0" w:after="240" w:afterAutospacing="0" w:line="259" w:lineRule="auto"/>
        <w:ind w:left="714" w:hanging="357"/>
      </w:pPr>
      <w:r w:rsidRPr="002229B8">
        <w:t xml:space="preserve">Allow for the access of middleware process configuration in a non-proprietary </w:t>
      </w:r>
      <w:r w:rsidR="001735D6" w:rsidRPr="002229B8">
        <w:t>machine-readable</w:t>
      </w:r>
      <w:r w:rsidRPr="002229B8">
        <w:t xml:space="preserve"> format to allow the use of existing tools to manage and edit the configurations.</w:t>
      </w:r>
    </w:p>
    <w:p w14:paraId="10C34C66" w14:textId="77777777" w:rsidR="007023D1" w:rsidRPr="00AF0E2A" w:rsidRDefault="007023D1" w:rsidP="00B17E1F">
      <w:pPr>
        <w:pStyle w:val="Heading2"/>
        <w:keepLines/>
        <w:numPr>
          <w:ilvl w:val="1"/>
          <w:numId w:val="2"/>
        </w:numPr>
        <w:spacing w:before="100" w:beforeAutospacing="1"/>
        <w:ind w:left="936" w:hanging="576"/>
        <w:rPr>
          <w:rFonts w:eastAsiaTheme="majorEastAsia" w:cstheme="majorBidi"/>
          <w:u w:val="none"/>
        </w:rPr>
      </w:pPr>
      <w:bookmarkStart w:id="46" w:name="_Toc188448376"/>
      <w:bookmarkStart w:id="47" w:name="_Toc188448377"/>
      <w:bookmarkStart w:id="48" w:name="_Toc188448378"/>
      <w:bookmarkStart w:id="49" w:name="_Toc188448379"/>
      <w:bookmarkStart w:id="50" w:name="_Toc188448380"/>
      <w:bookmarkStart w:id="51" w:name="_Toc188448381"/>
      <w:bookmarkStart w:id="52" w:name="_Toc188448382"/>
      <w:bookmarkStart w:id="53" w:name="_Toc188448383"/>
      <w:bookmarkStart w:id="54" w:name="_Toc188448384"/>
      <w:bookmarkStart w:id="55" w:name="_Toc188448385"/>
      <w:bookmarkStart w:id="56" w:name="_Toc188448386"/>
      <w:bookmarkStart w:id="57" w:name="_Toc188448387"/>
      <w:bookmarkStart w:id="58" w:name="_Toc188448388"/>
      <w:bookmarkStart w:id="59" w:name="_Toc188448389"/>
      <w:bookmarkStart w:id="60" w:name="_Toc188448390"/>
      <w:bookmarkStart w:id="61" w:name="_Toc188448391"/>
      <w:bookmarkStart w:id="62" w:name="_Toc188448392"/>
      <w:bookmarkStart w:id="63" w:name="_Toc188448393"/>
      <w:bookmarkStart w:id="64" w:name="_Toc188448394"/>
      <w:bookmarkStart w:id="65" w:name="_Toc188448395"/>
      <w:bookmarkStart w:id="66" w:name="_Toc188448396"/>
      <w:bookmarkStart w:id="67" w:name="_Toc188448397"/>
      <w:bookmarkStart w:id="68" w:name="_Toc188448398"/>
      <w:bookmarkStart w:id="69" w:name="_Toc188448399"/>
      <w:bookmarkStart w:id="70" w:name="_Toc188448400"/>
      <w:bookmarkStart w:id="71" w:name="_Toc188448401"/>
      <w:bookmarkStart w:id="72" w:name="_Toc188448402"/>
      <w:bookmarkStart w:id="73" w:name="_Toc188448403"/>
      <w:bookmarkStart w:id="74" w:name="_Toc188448404"/>
      <w:bookmarkStart w:id="75" w:name="_Toc191487094"/>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r w:rsidRPr="00AF0E2A">
        <w:rPr>
          <w:rFonts w:eastAsiaTheme="majorEastAsia" w:cstheme="majorBidi"/>
          <w:u w:val="none"/>
        </w:rPr>
        <w:t>Technical requirements:</w:t>
      </w:r>
      <w:bookmarkEnd w:id="75"/>
      <w:r w:rsidRPr="00AF0E2A">
        <w:rPr>
          <w:rFonts w:eastAsiaTheme="majorEastAsia" w:cstheme="majorBidi"/>
          <w:u w:val="none"/>
        </w:rPr>
        <w:t xml:space="preserve"> </w:t>
      </w:r>
    </w:p>
    <w:p w14:paraId="0F8E2E3A" w14:textId="77777777" w:rsidR="00880D17" w:rsidRPr="002229B8" w:rsidRDefault="00880D17" w:rsidP="00880D17">
      <w:pPr>
        <w:spacing w:before="240" w:beforeAutospacing="0" w:after="240" w:afterAutospacing="0"/>
        <w:rPr>
          <w:color w:val="C45911" w:themeColor="accent2" w:themeShade="BF"/>
        </w:rPr>
      </w:pPr>
      <w:r w:rsidRPr="002229B8">
        <w:rPr>
          <w:color w:val="C45911" w:themeColor="accent2" w:themeShade="BF"/>
        </w:rPr>
        <w:t>[</w:t>
      </w:r>
      <w:r w:rsidRPr="002229B8">
        <w:rPr>
          <w:b/>
          <w:color w:val="C45911" w:themeColor="accent2" w:themeShade="BF"/>
        </w:rPr>
        <w:t xml:space="preserve">Please note: </w:t>
      </w:r>
      <w:r w:rsidRPr="002229B8">
        <w:rPr>
          <w:i/>
          <w:iCs/>
          <w:color w:val="C45911" w:themeColor="accent2" w:themeShade="BF"/>
        </w:rPr>
        <w:t>Quantification of desired (minimum) values/ranges of values for each of the following technical requirements needs to be further adjusted on the basis of the specific object of procurement and the city’s or community’s needs.</w:t>
      </w:r>
      <w:r w:rsidRPr="002229B8">
        <w:rPr>
          <w:color w:val="C45911" w:themeColor="accent2" w:themeShade="BF"/>
        </w:rPr>
        <w:t>]</w:t>
      </w:r>
    </w:p>
    <w:p w14:paraId="29AAC74B" w14:textId="155366FB" w:rsidR="0089100E" w:rsidRPr="002229B8" w:rsidRDefault="0089100E" w:rsidP="0089100E">
      <w:pPr>
        <w:spacing w:before="240" w:beforeAutospacing="0" w:after="240" w:afterAutospacing="0"/>
      </w:pPr>
      <w:r w:rsidRPr="002229B8">
        <w:t xml:space="preserve">The </w:t>
      </w:r>
      <w:r w:rsidR="00B20675" w:rsidRPr="002229B8">
        <w:t>software</w:t>
      </w:r>
      <w:r w:rsidR="00880D17" w:rsidRPr="002229B8">
        <w:t xml:space="preserve"> solution</w:t>
      </w:r>
      <w:r w:rsidR="00B20675" w:rsidRPr="002229B8">
        <w:t>s</w:t>
      </w:r>
      <w:r w:rsidRPr="002229B8">
        <w:t xml:space="preserve"> should adhere to the following technical requirements:</w:t>
      </w:r>
    </w:p>
    <w:p w14:paraId="27975F85" w14:textId="747D285A" w:rsidR="00BF7834" w:rsidRPr="002229B8" w:rsidRDefault="00BF7834" w:rsidP="00B17E1F">
      <w:pPr>
        <w:pStyle w:val="ListParagraph"/>
        <w:numPr>
          <w:ilvl w:val="0"/>
          <w:numId w:val="26"/>
        </w:numPr>
        <w:spacing w:before="240" w:beforeAutospacing="0" w:after="240" w:afterAutospacing="0" w:line="259" w:lineRule="auto"/>
        <w:jc w:val="left"/>
        <w:rPr>
          <w:b/>
          <w:bCs/>
        </w:rPr>
      </w:pPr>
      <w:r w:rsidRPr="002229B8">
        <w:rPr>
          <w:b/>
        </w:rPr>
        <w:t>Scalability</w:t>
      </w:r>
      <w:r w:rsidRPr="002229B8">
        <w:rPr>
          <w:b/>
          <w:bCs/>
        </w:rPr>
        <w:t xml:space="preserve">: </w:t>
      </w:r>
    </w:p>
    <w:p w14:paraId="75384828" w14:textId="22D72F9D" w:rsidR="00BF7834" w:rsidRPr="002229B8" w:rsidRDefault="00BF7834" w:rsidP="00B17E1F">
      <w:pPr>
        <w:pStyle w:val="ListParagraph"/>
        <w:numPr>
          <w:ilvl w:val="1"/>
          <w:numId w:val="26"/>
        </w:numPr>
        <w:spacing w:before="240" w:beforeAutospacing="0" w:after="240" w:afterAutospacing="0" w:line="259" w:lineRule="auto"/>
        <w:jc w:val="left"/>
        <w:rPr>
          <w:b/>
        </w:rPr>
      </w:pPr>
      <w:r w:rsidRPr="002229B8">
        <w:t xml:space="preserve">Support dynamic workloads and growth without performance degradation to ensure LDT can scale up or down dynamically and receive the appropriate data from the city data systems (on an as-needed basis) to deliver appropriate performance also based on user demands (e.g., by using horizontal and/or vertical scaling solutions) </w:t>
      </w:r>
      <w:r w:rsidRPr="002229B8">
        <w:rPr>
          <w:i/>
          <w:color w:val="C45911" w:themeColor="accent2" w:themeShade="BF"/>
        </w:rPr>
        <w:t>[specify desired scalability levels]</w:t>
      </w:r>
    </w:p>
    <w:p w14:paraId="0B351461" w14:textId="77777777" w:rsidR="00BF7834" w:rsidRPr="002229B8" w:rsidRDefault="00BF7834" w:rsidP="00B17E1F">
      <w:pPr>
        <w:pStyle w:val="ListParagraph"/>
        <w:numPr>
          <w:ilvl w:val="1"/>
          <w:numId w:val="26"/>
        </w:numPr>
        <w:spacing w:before="240" w:beforeAutospacing="0" w:after="240" w:afterAutospacing="0" w:line="259" w:lineRule="auto"/>
        <w:jc w:val="left"/>
        <w:rPr>
          <w:b/>
        </w:rPr>
      </w:pPr>
      <w:r w:rsidRPr="002229B8">
        <w:t xml:space="preserve">Ensure city data systems are not impacted negatively by requests from the LDT by applying preventive and mitigating measures (e.g. caching, rate limiting, queuing). </w:t>
      </w:r>
      <w:r w:rsidRPr="002229B8">
        <w:rPr>
          <w:i/>
          <w:color w:val="C45911" w:themeColor="accent2" w:themeShade="BF"/>
        </w:rPr>
        <w:t>[specify acceptable load from middleware on city data systems]</w:t>
      </w:r>
    </w:p>
    <w:p w14:paraId="0E5B8BCF" w14:textId="0081F59E" w:rsidR="00BF7834" w:rsidRPr="002229B8" w:rsidRDefault="00BF7834" w:rsidP="00B17E1F">
      <w:pPr>
        <w:pStyle w:val="ListParagraph"/>
        <w:numPr>
          <w:ilvl w:val="0"/>
          <w:numId w:val="26"/>
        </w:numPr>
        <w:spacing w:before="240" w:beforeAutospacing="0" w:after="240" w:afterAutospacing="0" w:line="259" w:lineRule="auto"/>
        <w:jc w:val="left"/>
        <w:rPr>
          <w:b/>
          <w:bCs/>
        </w:rPr>
      </w:pPr>
      <w:r w:rsidRPr="002229B8">
        <w:rPr>
          <w:b/>
        </w:rPr>
        <w:lastRenderedPageBreak/>
        <w:t>Interoperability</w:t>
      </w:r>
      <w:r w:rsidRPr="002229B8">
        <w:rPr>
          <w:b/>
          <w:bCs/>
        </w:rPr>
        <w:t xml:space="preserve">: </w:t>
      </w:r>
    </w:p>
    <w:p w14:paraId="690F2B03" w14:textId="14B857B0" w:rsidR="00BF7834" w:rsidRPr="002229B8" w:rsidRDefault="00BF7834" w:rsidP="00B17E1F">
      <w:pPr>
        <w:pStyle w:val="ListParagraph"/>
        <w:numPr>
          <w:ilvl w:val="1"/>
          <w:numId w:val="16"/>
        </w:numPr>
        <w:spacing w:before="240" w:beforeAutospacing="0" w:after="240" w:afterAutospacing="0"/>
        <w:ind w:left="1434" w:hanging="357"/>
        <w:rPr>
          <w:color w:val="C45911" w:themeColor="accent2" w:themeShade="BF"/>
        </w:rPr>
      </w:pPr>
      <w:r w:rsidRPr="002229B8">
        <w:rPr>
          <w:b/>
        </w:rPr>
        <w:t>Standard protocol support</w:t>
      </w:r>
      <w:r w:rsidRPr="002229B8">
        <w:t xml:space="preserve">: Enable consistent communication between city data systems and LDT systems using standardised methods. Support of common communication protocols that the city data systems might use (e.g. REST, SOAP, MQTT, RabbitMQ). </w:t>
      </w:r>
      <w:r w:rsidRPr="002229B8">
        <w:rPr>
          <w:i/>
          <w:color w:val="C45911" w:themeColor="accent2" w:themeShade="BF"/>
        </w:rPr>
        <w:t xml:space="preserve">[specify desired communication protocols]  </w:t>
      </w:r>
    </w:p>
    <w:p w14:paraId="05F1EF61" w14:textId="590DEB37" w:rsidR="00BF7834" w:rsidRPr="002229B8" w:rsidRDefault="00BF7834" w:rsidP="00B17E1F">
      <w:pPr>
        <w:pStyle w:val="ListParagraph"/>
        <w:numPr>
          <w:ilvl w:val="1"/>
          <w:numId w:val="16"/>
        </w:numPr>
        <w:spacing w:before="240" w:beforeAutospacing="0" w:after="240" w:afterAutospacing="0"/>
        <w:ind w:left="1434" w:hanging="357"/>
        <w:rPr>
          <w:color w:val="C45911" w:themeColor="accent2" w:themeShade="BF"/>
        </w:rPr>
      </w:pPr>
      <w:r w:rsidRPr="002229B8">
        <w:rPr>
          <w:b/>
        </w:rPr>
        <w:t>Data format standardisation</w:t>
      </w:r>
      <w:r w:rsidRPr="002229B8">
        <w:t xml:space="preserve">: Ensure data can be interpreted and processed consistently across different systems and applications. </w:t>
      </w:r>
      <w:r w:rsidR="00FA79F5">
        <w:t>The solution</w:t>
      </w:r>
      <w:r w:rsidRPr="002229B8">
        <w:t xml:space="preserve"> should support </w:t>
      </w:r>
      <w:r w:rsidR="00580832">
        <w:t>using</w:t>
      </w:r>
      <w:r w:rsidRPr="002229B8">
        <w:t xml:space="preserve"> standardised data formats for data exchange (e.g., JSON, XML, and CSV).  </w:t>
      </w:r>
      <w:r w:rsidRPr="002229B8">
        <w:rPr>
          <w:i/>
          <w:color w:val="C45911" w:themeColor="accent2" w:themeShade="BF"/>
        </w:rPr>
        <w:t>[specify desired data formats]</w:t>
      </w:r>
      <w:r w:rsidRPr="002229B8">
        <w:rPr>
          <w:color w:val="C45911" w:themeColor="accent2" w:themeShade="BF"/>
        </w:rPr>
        <w:t> </w:t>
      </w:r>
    </w:p>
    <w:p w14:paraId="2D79152F" w14:textId="06CA69C6" w:rsidR="00BF7834" w:rsidRPr="002229B8" w:rsidRDefault="00BF7834" w:rsidP="00B17E1F">
      <w:pPr>
        <w:pStyle w:val="ListParagraph"/>
        <w:numPr>
          <w:ilvl w:val="1"/>
          <w:numId w:val="16"/>
        </w:numPr>
        <w:spacing w:before="240" w:beforeAutospacing="0" w:after="240" w:afterAutospacing="0"/>
        <w:ind w:left="1434" w:hanging="357"/>
      </w:pPr>
      <w:r w:rsidRPr="002229B8">
        <w:rPr>
          <w:b/>
        </w:rPr>
        <w:t>Data access interoperability</w:t>
      </w:r>
      <w:r w:rsidRPr="002229B8">
        <w:t xml:space="preserve">: Support reading from common database, data lake and data warehouse technologies (e.g. MySQL, </w:t>
      </w:r>
      <w:r w:rsidR="00FA79F5">
        <w:t>PostgreSQL</w:t>
      </w:r>
      <w:r w:rsidRPr="002229B8">
        <w:t xml:space="preserve">, Snowflake, Hadoop, Redshift, SAP HANA). In </w:t>
      </w:r>
      <w:r w:rsidR="00607035" w:rsidRPr="002229B8">
        <w:t>addition,</w:t>
      </w:r>
      <w:r w:rsidRPr="002229B8">
        <w:t xml:space="preserve"> files on local or remote systems should be readable by the middleware as well (e.g. files on S3 blob storage, FTP directories, etc…) </w:t>
      </w:r>
      <w:r w:rsidRPr="002229B8">
        <w:rPr>
          <w:i/>
          <w:color w:val="C45911" w:themeColor="accent2" w:themeShade="BF"/>
        </w:rPr>
        <w:t>[specify desired data technology interoperability]</w:t>
      </w:r>
    </w:p>
    <w:p w14:paraId="192E87B7" w14:textId="370CC5A9" w:rsidR="00BF7834" w:rsidRPr="002229B8" w:rsidRDefault="00BF7834" w:rsidP="00B17E1F">
      <w:pPr>
        <w:pStyle w:val="ListParagraph"/>
        <w:numPr>
          <w:ilvl w:val="1"/>
          <w:numId w:val="16"/>
        </w:numPr>
        <w:spacing w:before="240" w:beforeAutospacing="0" w:after="240" w:afterAutospacing="0"/>
        <w:ind w:left="1434" w:hanging="357"/>
        <w:rPr>
          <w:b/>
          <w:bCs/>
        </w:rPr>
      </w:pPr>
      <w:r w:rsidRPr="002229B8">
        <w:rPr>
          <w:b/>
        </w:rPr>
        <w:t>API integration</w:t>
      </w:r>
      <w:r w:rsidRPr="002229B8">
        <w:t xml:space="preserve">: support integration of the middleware solution with other applications and systems so that they can operate the middleware solution through standardised communication protocols (e.g., via RESTful APIs) </w:t>
      </w:r>
      <w:r w:rsidRPr="002229B8">
        <w:rPr>
          <w:i/>
          <w:color w:val="C45911" w:themeColor="accent2" w:themeShade="BF"/>
        </w:rPr>
        <w:t>[specify desired API integration]</w:t>
      </w:r>
      <w:r w:rsidRPr="002229B8">
        <w:t xml:space="preserve"> </w:t>
      </w:r>
    </w:p>
    <w:p w14:paraId="33818944" w14:textId="1D1B7EC4" w:rsidR="004A23BB" w:rsidRPr="002229B8" w:rsidRDefault="004A23BB" w:rsidP="00B17E1F">
      <w:pPr>
        <w:pStyle w:val="ListParagraph"/>
        <w:numPr>
          <w:ilvl w:val="0"/>
          <w:numId w:val="26"/>
        </w:numPr>
        <w:spacing w:before="240" w:beforeAutospacing="0" w:after="240" w:afterAutospacing="0" w:line="259" w:lineRule="auto"/>
        <w:jc w:val="left"/>
        <w:rPr>
          <w:b/>
          <w:bCs/>
        </w:rPr>
      </w:pPr>
      <w:r w:rsidRPr="002229B8">
        <w:rPr>
          <w:b/>
          <w:bCs/>
        </w:rPr>
        <w:t>Monitoring</w:t>
      </w:r>
      <w:r w:rsidR="00BF7834" w:rsidRPr="002229B8">
        <w:rPr>
          <w:b/>
          <w:bCs/>
        </w:rPr>
        <w:t>:</w:t>
      </w:r>
      <w:r w:rsidRPr="002229B8">
        <w:rPr>
          <w:b/>
          <w:bCs/>
        </w:rPr>
        <w:t xml:space="preserve"> </w:t>
      </w:r>
      <w:r w:rsidR="00BF7834" w:rsidRPr="002229B8">
        <w:t xml:space="preserve">Provide a metrics endpoint that exposes the status of all the different middleware </w:t>
      </w:r>
      <w:r w:rsidR="00FA79F5">
        <w:t>transformations to relevant stakeholders, allowing them to integrate it into</w:t>
      </w:r>
      <w:r w:rsidR="00BF7834" w:rsidRPr="002229B8">
        <w:t xml:space="preserve"> their </w:t>
      </w:r>
      <w:r w:rsidRPr="002229B8">
        <w:t xml:space="preserve">own </w:t>
      </w:r>
      <w:r w:rsidR="00BF7834" w:rsidRPr="002229B8">
        <w:t>monitoring setup (e.g., time to complete a process, data size processed, encountered errors, et</w:t>
      </w:r>
      <w:r w:rsidR="00000D31">
        <w:t>c.</w:t>
      </w:r>
      <w:r w:rsidR="00BF7834" w:rsidRPr="002229B8">
        <w:t xml:space="preserve">). </w:t>
      </w:r>
      <w:r w:rsidR="00BF7834" w:rsidRPr="002229B8">
        <w:rPr>
          <w:i/>
          <w:color w:val="C45911" w:themeColor="accent2" w:themeShade="BF"/>
        </w:rPr>
        <w:t>[specify desired metrics to include in the endpoint]</w:t>
      </w:r>
    </w:p>
    <w:p w14:paraId="53BA2E09" w14:textId="328C7DE7" w:rsidR="00BF7834" w:rsidRPr="002229B8" w:rsidRDefault="004A23BB" w:rsidP="00B17E1F">
      <w:pPr>
        <w:pStyle w:val="ListParagraph"/>
        <w:numPr>
          <w:ilvl w:val="0"/>
          <w:numId w:val="26"/>
        </w:numPr>
        <w:spacing w:before="240" w:beforeAutospacing="0" w:after="240" w:afterAutospacing="0" w:line="259" w:lineRule="auto"/>
        <w:jc w:val="left"/>
        <w:rPr>
          <w:b/>
          <w:bCs/>
        </w:rPr>
      </w:pPr>
      <w:r w:rsidRPr="002229B8">
        <w:rPr>
          <w:b/>
          <w:bCs/>
        </w:rPr>
        <w:t>Alerting:</w:t>
      </w:r>
      <w:r w:rsidRPr="002229B8">
        <w:t xml:space="preserve"> </w:t>
      </w:r>
      <w:r w:rsidR="00BF7834" w:rsidRPr="002229B8">
        <w:t>Implement notification channels that can alert relevant stakeholders of an event of interest (error, time-out, etc</w:t>
      </w:r>
      <w:r w:rsidR="00717475">
        <w:t>.</w:t>
      </w:r>
      <w:r w:rsidR="00BF7834" w:rsidRPr="002229B8">
        <w:t>) occurring during the middleware process via a widely used communication method</w:t>
      </w:r>
      <w:r w:rsidR="00BF7834" w:rsidRPr="002229B8">
        <w:rPr>
          <w:b/>
          <w:bCs/>
        </w:rPr>
        <w:t xml:space="preserve"> </w:t>
      </w:r>
      <w:r w:rsidR="00BF7834" w:rsidRPr="002229B8">
        <w:t>(e.g., e-mail, Slack, SMS, etc</w:t>
      </w:r>
      <w:r w:rsidR="00000D31">
        <w:t>.</w:t>
      </w:r>
      <w:r w:rsidR="00BF7834" w:rsidRPr="002229B8">
        <w:t xml:space="preserve">) </w:t>
      </w:r>
      <w:r w:rsidR="00BF7834" w:rsidRPr="002229B8">
        <w:rPr>
          <w:i/>
          <w:color w:val="C45911" w:themeColor="accent2" w:themeShade="BF"/>
        </w:rPr>
        <w:t>[specify desired events and communication methods]</w:t>
      </w:r>
    </w:p>
    <w:p w14:paraId="2884F998" w14:textId="42DADED3" w:rsidR="00BF7834" w:rsidRPr="002229B8" w:rsidRDefault="00BF7834" w:rsidP="00B17E1F">
      <w:pPr>
        <w:pStyle w:val="ListParagraph"/>
        <w:numPr>
          <w:ilvl w:val="0"/>
          <w:numId w:val="26"/>
        </w:numPr>
        <w:spacing w:before="240" w:beforeAutospacing="0" w:after="240" w:afterAutospacing="0" w:line="259" w:lineRule="auto"/>
        <w:jc w:val="left"/>
        <w:rPr>
          <w:b/>
        </w:rPr>
      </w:pPr>
      <w:r w:rsidRPr="002229B8">
        <w:rPr>
          <w:b/>
        </w:rPr>
        <w:t>High availability:</w:t>
      </w:r>
      <w:r w:rsidRPr="002229B8">
        <w:t xml:space="preserve"> Minimise downtime and ensure continuous availability and reliable performance of the middleware solution also during maintenance (e.g., specifying uptime levels based on SLA commitments,  Mean time to recover (MTTR), Mean time between failure (MTBF), Recovery Time Objective (RTO), or other measures recognised and accepted as industry benchmarks) </w:t>
      </w:r>
      <w:r w:rsidRPr="002229B8">
        <w:rPr>
          <w:i/>
          <w:color w:val="C45911" w:themeColor="accent2" w:themeShade="BF"/>
        </w:rPr>
        <w:t xml:space="preserve">[specify desired levels for availability and </w:t>
      </w:r>
      <w:r w:rsidR="00717475">
        <w:rPr>
          <w:i/>
          <w:color w:val="C45911" w:themeColor="accent2" w:themeShade="BF"/>
        </w:rPr>
        <w:t>time-related</w:t>
      </w:r>
      <w:r w:rsidRPr="002229B8">
        <w:rPr>
          <w:i/>
          <w:color w:val="C45911" w:themeColor="accent2" w:themeShade="BF"/>
        </w:rPr>
        <w:t xml:space="preserve"> metrics, e.g., XX.XX %, YY.YY h]</w:t>
      </w:r>
      <w:r w:rsidRPr="002229B8">
        <w:rPr>
          <w:color w:val="C45911" w:themeColor="accent2" w:themeShade="BF"/>
        </w:rPr>
        <w:t xml:space="preserve"> </w:t>
      </w:r>
    </w:p>
    <w:p w14:paraId="10680C65" w14:textId="452555DE" w:rsidR="00BF7834" w:rsidRPr="002229B8" w:rsidRDefault="00BF7834" w:rsidP="00B17E1F">
      <w:pPr>
        <w:pStyle w:val="ListParagraph"/>
        <w:numPr>
          <w:ilvl w:val="0"/>
          <w:numId w:val="26"/>
        </w:numPr>
        <w:spacing w:before="240" w:beforeAutospacing="0" w:after="240" w:afterAutospacing="0" w:line="259" w:lineRule="auto"/>
        <w:jc w:val="left"/>
        <w:rPr>
          <w:b/>
          <w:bCs/>
        </w:rPr>
      </w:pPr>
      <w:r w:rsidRPr="002229B8">
        <w:rPr>
          <w:b/>
        </w:rPr>
        <w:t>Security</w:t>
      </w:r>
      <w:r w:rsidRPr="002229B8">
        <w:t xml:space="preserve">: </w:t>
      </w:r>
    </w:p>
    <w:p w14:paraId="02B03FCF" w14:textId="68DE7848" w:rsidR="00BF7834" w:rsidRPr="002229B8" w:rsidRDefault="00BF7834" w:rsidP="00B17E1F">
      <w:pPr>
        <w:pStyle w:val="ListParagraph"/>
        <w:numPr>
          <w:ilvl w:val="1"/>
          <w:numId w:val="26"/>
        </w:numPr>
        <w:spacing w:before="240" w:beforeAutospacing="0" w:after="240" w:afterAutospacing="0" w:line="259" w:lineRule="auto"/>
        <w:jc w:val="left"/>
        <w:rPr>
          <w:b/>
        </w:rPr>
      </w:pPr>
      <w:r w:rsidRPr="002229B8">
        <w:rPr>
          <w:b/>
        </w:rPr>
        <w:t>In transit security:</w:t>
      </w:r>
      <w:r w:rsidRPr="002229B8">
        <w:t xml:space="preserve"> Implement robust security protocols to safeguard data traffic (e.g., TLS/DTLS, </w:t>
      </w:r>
      <w:r w:rsidR="00000D31">
        <w:t>IPsec</w:t>
      </w:r>
      <w:r w:rsidRPr="002229B8">
        <w:t xml:space="preserve">, ISO/IEC 27001, or others recognised and accepted as </w:t>
      </w:r>
      <w:r w:rsidRPr="002229B8">
        <w:lastRenderedPageBreak/>
        <w:t xml:space="preserve">industry </w:t>
      </w:r>
      <w:r w:rsidR="00627A42">
        <w:t>benchmarks</w:t>
      </w:r>
      <w:r w:rsidRPr="002229B8">
        <w:t xml:space="preserve"> and compliant with applicable policies and legislations) </w:t>
      </w:r>
      <w:r w:rsidRPr="002229B8">
        <w:rPr>
          <w:i/>
          <w:color w:val="C45911" w:themeColor="accent2" w:themeShade="BF"/>
        </w:rPr>
        <w:t>[specify desired security protocols or measures for middleware solution]</w:t>
      </w:r>
      <w:r w:rsidRPr="002229B8">
        <w:rPr>
          <w:color w:val="C45911" w:themeColor="accent2" w:themeShade="BF"/>
        </w:rPr>
        <w:t xml:space="preserve">  </w:t>
      </w:r>
    </w:p>
    <w:p w14:paraId="3E8C95C2" w14:textId="77777777" w:rsidR="00BF7834" w:rsidRPr="002229B8" w:rsidRDefault="00BF7834" w:rsidP="00B17E1F">
      <w:pPr>
        <w:pStyle w:val="ListParagraph"/>
        <w:numPr>
          <w:ilvl w:val="1"/>
          <w:numId w:val="26"/>
        </w:numPr>
        <w:spacing w:before="240" w:beforeAutospacing="0" w:after="240" w:afterAutospacing="0" w:line="259" w:lineRule="auto"/>
        <w:jc w:val="left"/>
        <w:rPr>
          <w:b/>
          <w:bCs/>
        </w:rPr>
      </w:pPr>
      <w:r w:rsidRPr="002229B8">
        <w:rPr>
          <w:b/>
        </w:rPr>
        <w:t>At rest security:</w:t>
      </w:r>
      <w:r w:rsidRPr="002229B8">
        <w:t xml:space="preserve"> Implement robust encryption protocols for data stored by the middleware solution to prevent unauthorised access (e.g., AES-256 encryption, ISO/IEC 27001, Zero-knowledge encryption, or other solutions recognised and accepted as industry benchmark and compliant with applicable policies and legislations) </w:t>
      </w:r>
      <w:r w:rsidRPr="002229B8">
        <w:rPr>
          <w:i/>
          <w:color w:val="C45911" w:themeColor="accent2" w:themeShade="BF"/>
        </w:rPr>
        <w:t>[specify desired security measures for middleware solution]</w:t>
      </w:r>
      <w:r w:rsidRPr="002229B8">
        <w:rPr>
          <w:color w:val="C45911" w:themeColor="accent2" w:themeShade="BF"/>
        </w:rPr>
        <w:t xml:space="preserve">  </w:t>
      </w:r>
    </w:p>
    <w:p w14:paraId="3259F7BD" w14:textId="39B94A15" w:rsidR="00BF7834" w:rsidRPr="002229B8" w:rsidRDefault="00BF7834" w:rsidP="00B17E1F">
      <w:pPr>
        <w:pStyle w:val="ListParagraph"/>
        <w:numPr>
          <w:ilvl w:val="1"/>
          <w:numId w:val="26"/>
        </w:numPr>
        <w:spacing w:before="240" w:beforeAutospacing="0" w:after="240" w:afterAutospacing="0" w:line="259" w:lineRule="auto"/>
        <w:jc w:val="left"/>
        <w:rPr>
          <w:b/>
          <w:bCs/>
        </w:rPr>
      </w:pPr>
      <w:r w:rsidRPr="002229B8">
        <w:rPr>
          <w:rStyle w:val="normaltextrun"/>
          <w:b/>
          <w:bCs/>
          <w:color w:val="000000"/>
          <w:shd w:val="clear" w:color="auto" w:fill="FFFFFF"/>
        </w:rPr>
        <w:t>Access control security:</w:t>
      </w:r>
      <w:r w:rsidRPr="002229B8">
        <w:rPr>
          <w:rStyle w:val="normaltextrun"/>
          <w:color w:val="000000"/>
          <w:shd w:val="clear" w:color="auto" w:fill="FFFFFF"/>
        </w:rPr>
        <w:t xml:space="preserve"> </w:t>
      </w:r>
      <w:r w:rsidRPr="002229B8">
        <w:t>Implement robust authentication and authorisation solutions to ensure only approved services, applications</w:t>
      </w:r>
      <w:r w:rsidR="00627A42">
        <w:t>,</w:t>
      </w:r>
      <w:r w:rsidRPr="002229B8">
        <w:t xml:space="preserve"> and users interact and exchange data with the middleware solution (e.g., via tenant isolation solutions, multi-factor authentication, Zero Trust Model, or other solutions recognised and accepted as industry benchmark and compliant with applicable policies and legislations) </w:t>
      </w:r>
      <w:r w:rsidRPr="002229B8">
        <w:rPr>
          <w:i/>
          <w:color w:val="C45911" w:themeColor="accent2" w:themeShade="BF"/>
        </w:rPr>
        <w:t>[specify desired authentication and authorisation protocols or measures for middleware solution]</w:t>
      </w:r>
      <w:r w:rsidRPr="002229B8">
        <w:rPr>
          <w:color w:val="C45911" w:themeColor="accent2" w:themeShade="BF"/>
        </w:rPr>
        <w:t xml:space="preserve"> </w:t>
      </w:r>
    </w:p>
    <w:p w14:paraId="35629260" w14:textId="145BDF00" w:rsidR="000C63A6" w:rsidRPr="002229B8" w:rsidRDefault="00BF7834" w:rsidP="00B17E1F">
      <w:pPr>
        <w:pStyle w:val="ListParagraph"/>
        <w:numPr>
          <w:ilvl w:val="1"/>
          <w:numId w:val="26"/>
        </w:numPr>
        <w:spacing w:before="240" w:beforeAutospacing="0" w:after="240" w:afterAutospacing="0" w:line="259" w:lineRule="auto"/>
        <w:jc w:val="left"/>
        <w:rPr>
          <w:b/>
          <w:bCs/>
        </w:rPr>
      </w:pPr>
      <w:r w:rsidRPr="002229B8">
        <w:rPr>
          <w:b/>
          <w:bCs/>
        </w:rPr>
        <w:t>Isolation:</w:t>
      </w:r>
      <w:r w:rsidRPr="002229B8">
        <w:t xml:space="preserve"> For multi-tenant middleware models, ensure each tenant's data and applications can operate in isolated virtual environments to reduce </w:t>
      </w:r>
      <w:r w:rsidR="00627A42">
        <w:t xml:space="preserve">the </w:t>
      </w:r>
      <w:r w:rsidRPr="002229B8">
        <w:t xml:space="preserve">risk of interference or data leakage </w:t>
      </w:r>
      <w:r w:rsidRPr="002229B8">
        <w:rPr>
          <w:i/>
          <w:color w:val="C45911" w:themeColor="accent2" w:themeShade="BF"/>
        </w:rPr>
        <w:t>[specify desired isolation requirements for middleware solution</w:t>
      </w:r>
      <w:r w:rsidR="000C63A6" w:rsidRPr="002229B8">
        <w:rPr>
          <w:i/>
          <w:color w:val="C45911" w:themeColor="accent2" w:themeShade="BF"/>
        </w:rPr>
        <w:t>]</w:t>
      </w:r>
    </w:p>
    <w:p w14:paraId="654090EC" w14:textId="3DF84128" w:rsidR="001B0A43" w:rsidRPr="002229B8" w:rsidRDefault="001B0A43" w:rsidP="00B17E1F">
      <w:pPr>
        <w:pStyle w:val="ListParagraph"/>
        <w:numPr>
          <w:ilvl w:val="0"/>
          <w:numId w:val="26"/>
        </w:numPr>
        <w:spacing w:before="240" w:beforeAutospacing="0" w:after="240" w:afterAutospacing="0" w:line="259" w:lineRule="auto"/>
        <w:jc w:val="left"/>
        <w:rPr>
          <w:b/>
          <w:bCs/>
        </w:rPr>
      </w:pPr>
      <w:r w:rsidRPr="002229B8">
        <w:rPr>
          <w:b/>
          <w:bCs/>
        </w:rPr>
        <w:t>Data privacy</w:t>
      </w:r>
      <w:r w:rsidRPr="002229B8">
        <w:t xml:space="preserve">: Implement data storage solutions that are fully compliant with applicable privacy policies and legislations such as GDPR (e.g., implementation of access logs, allowing auditing, encrypting data, allowing deletion of data if requested by users (if applicable), compliance with data localisation/residency requirements, among others) </w:t>
      </w:r>
      <w:r w:rsidRPr="002229B8">
        <w:rPr>
          <w:i/>
          <w:color w:val="C45911" w:themeColor="accent2" w:themeShade="BF"/>
        </w:rPr>
        <w:t>[specify desired privacy measures]</w:t>
      </w:r>
      <w:r w:rsidRPr="002229B8">
        <w:t xml:space="preserve">  </w:t>
      </w:r>
    </w:p>
    <w:p w14:paraId="53082642" w14:textId="77777777" w:rsidR="00BF7834" w:rsidRPr="002229B8" w:rsidRDefault="00BF7834" w:rsidP="00B17E1F">
      <w:pPr>
        <w:pStyle w:val="ListParagraph"/>
        <w:numPr>
          <w:ilvl w:val="0"/>
          <w:numId w:val="26"/>
        </w:numPr>
        <w:spacing w:before="240" w:beforeAutospacing="0" w:after="240" w:afterAutospacing="0" w:line="259" w:lineRule="auto"/>
        <w:jc w:val="left"/>
        <w:rPr>
          <w:b/>
          <w:bCs/>
        </w:rPr>
      </w:pPr>
      <w:r w:rsidRPr="002229B8">
        <w:rPr>
          <w:b/>
          <w:bCs/>
        </w:rPr>
        <w:t>Backups, recovery and versioning of middleware configuration:</w:t>
      </w:r>
      <w:r w:rsidRPr="002229B8">
        <w:t xml:space="preserve"> </w:t>
      </w:r>
    </w:p>
    <w:p w14:paraId="7AB08837" w14:textId="08CC5F10" w:rsidR="00BF7834" w:rsidRPr="002229B8" w:rsidRDefault="00BF7834" w:rsidP="00B17E1F">
      <w:pPr>
        <w:pStyle w:val="ListParagraph"/>
        <w:numPr>
          <w:ilvl w:val="1"/>
          <w:numId w:val="26"/>
        </w:numPr>
        <w:spacing w:before="240" w:beforeAutospacing="0" w:after="240" w:afterAutospacing="0" w:line="259" w:lineRule="auto"/>
        <w:jc w:val="left"/>
        <w:rPr>
          <w:b/>
          <w:bCs/>
        </w:rPr>
      </w:pPr>
      <w:r w:rsidRPr="002229B8">
        <w:t>Provide robust backup and recovery solutions that allow recovery of recent and long-term middleware configuration</w:t>
      </w:r>
      <w:r w:rsidR="00C43D2C">
        <w:t xml:space="preserve"> and</w:t>
      </w:r>
      <w:r w:rsidRPr="002229B8">
        <w:t xml:space="preserve"> that minimise the risk of data loss (e.g., automated frequent (e.g., daily) backups, Point-in-Time Recovery (PITR), granular-level data recovery, data replication, or other solution recognised and accepted as industry benchmark) </w:t>
      </w:r>
      <w:r w:rsidRPr="002229B8">
        <w:rPr>
          <w:i/>
          <w:color w:val="C45911" w:themeColor="accent2" w:themeShade="BF"/>
        </w:rPr>
        <w:t>[specify desired backup and recovery levels for the middleware solution]</w:t>
      </w:r>
    </w:p>
    <w:p w14:paraId="4B711EDD" w14:textId="77777777" w:rsidR="000334C9" w:rsidRPr="002229B8" w:rsidRDefault="00BF7834" w:rsidP="00B17E1F">
      <w:pPr>
        <w:pStyle w:val="ListParagraph"/>
        <w:numPr>
          <w:ilvl w:val="1"/>
          <w:numId w:val="26"/>
        </w:numPr>
        <w:spacing w:before="240" w:beforeAutospacing="0" w:after="240" w:afterAutospacing="0" w:line="259" w:lineRule="auto"/>
        <w:jc w:val="left"/>
        <w:rPr>
          <w:i/>
          <w:color w:val="C45911" w:themeColor="accent2" w:themeShade="BF"/>
        </w:rPr>
      </w:pPr>
      <w:r w:rsidRPr="002229B8">
        <w:t xml:space="preserve">Allow for configuration versioning of each independent middleware process such that changes in configuration resulting from changes in city data systems and/or LDT can be tracked and restored (e.g. using Git) </w:t>
      </w:r>
      <w:r w:rsidRPr="002229B8">
        <w:rPr>
          <w:i/>
          <w:color w:val="C45911" w:themeColor="accent2" w:themeShade="BF"/>
        </w:rPr>
        <w:t>[specify desired versioning approach for the middleware solution]</w:t>
      </w:r>
    </w:p>
    <w:p w14:paraId="36A06732" w14:textId="104F9600" w:rsidR="00D07867" w:rsidRPr="002229B8" w:rsidRDefault="001666CD" w:rsidP="00B17E1F">
      <w:pPr>
        <w:pStyle w:val="ListParagraph"/>
        <w:numPr>
          <w:ilvl w:val="0"/>
          <w:numId w:val="26"/>
        </w:numPr>
        <w:spacing w:before="240" w:beforeAutospacing="0" w:after="240" w:afterAutospacing="0" w:line="259" w:lineRule="auto"/>
        <w:jc w:val="left"/>
        <w:rPr>
          <w:i/>
          <w:color w:val="C45911" w:themeColor="accent2" w:themeShade="BF"/>
        </w:rPr>
      </w:pPr>
      <w:r w:rsidRPr="002229B8">
        <w:rPr>
          <w:rFonts w:eastAsiaTheme="minorEastAsia"/>
          <w:b/>
          <w:bCs/>
        </w:rPr>
        <w:lastRenderedPageBreak/>
        <w:t>Collaboration:</w:t>
      </w:r>
      <w:r w:rsidRPr="002229B8">
        <w:rPr>
          <w:rFonts w:eastAsiaTheme="minorEastAsia"/>
        </w:rPr>
        <w:t xml:space="preserve"> allow multiple users to work on the same middleware </w:t>
      </w:r>
      <w:r w:rsidR="0058441A" w:rsidRPr="002229B8">
        <w:rPr>
          <w:rFonts w:eastAsiaTheme="minorEastAsia"/>
        </w:rPr>
        <w:t>configuration</w:t>
      </w:r>
      <w:r w:rsidR="003A40CB" w:rsidRPr="002229B8">
        <w:rPr>
          <w:rFonts w:eastAsiaTheme="minorEastAsia"/>
        </w:rPr>
        <w:t xml:space="preserve">, </w:t>
      </w:r>
      <w:r w:rsidR="00D35CA8" w:rsidRPr="002229B8">
        <w:rPr>
          <w:rFonts w:eastAsiaTheme="minorEastAsia"/>
        </w:rPr>
        <w:t xml:space="preserve">handling </w:t>
      </w:r>
      <w:r w:rsidR="00413751">
        <w:rPr>
          <w:rFonts w:eastAsiaTheme="minorEastAsia"/>
        </w:rPr>
        <w:t>(</w:t>
      </w:r>
      <w:r w:rsidR="00D35CA8" w:rsidRPr="002229B8">
        <w:rPr>
          <w:rFonts w:eastAsiaTheme="minorEastAsia"/>
        </w:rPr>
        <w:t>e.g.</w:t>
      </w:r>
      <w:r w:rsidR="003A40CB" w:rsidRPr="002229B8">
        <w:rPr>
          <w:rFonts w:eastAsiaTheme="minorEastAsia"/>
        </w:rPr>
        <w:t xml:space="preserve"> merge</w:t>
      </w:r>
      <w:r w:rsidR="00413751">
        <w:rPr>
          <w:rFonts w:eastAsiaTheme="minorEastAsia"/>
        </w:rPr>
        <w:t>)</w:t>
      </w:r>
      <w:r w:rsidR="003A40CB" w:rsidRPr="002229B8">
        <w:rPr>
          <w:rFonts w:eastAsiaTheme="minorEastAsia"/>
        </w:rPr>
        <w:t xml:space="preserve"> conflicts </w:t>
      </w:r>
      <w:r w:rsidR="00A2198E" w:rsidRPr="002229B8">
        <w:rPr>
          <w:rFonts w:eastAsiaTheme="minorEastAsia"/>
        </w:rPr>
        <w:t>appropriately</w:t>
      </w:r>
      <w:r w:rsidRPr="002229B8">
        <w:rPr>
          <w:rFonts w:eastAsiaTheme="minorEastAsia"/>
        </w:rPr>
        <w:t xml:space="preserve">. </w:t>
      </w:r>
      <w:r w:rsidRPr="002229B8">
        <w:rPr>
          <w:rFonts w:eastAsiaTheme="minorEastAsia"/>
          <w:i/>
          <w:iCs/>
          <w:color w:val="C45911" w:themeColor="accent2" w:themeShade="BF"/>
        </w:rPr>
        <w:t>[specify collaboration platforms, specify collaboration features]</w:t>
      </w:r>
    </w:p>
    <w:p w14:paraId="74CDA572" w14:textId="32BFF2A4" w:rsidR="00C45BF4" w:rsidRPr="002229B8" w:rsidRDefault="00D07867" w:rsidP="00B17E1F">
      <w:pPr>
        <w:pStyle w:val="ListParagraph"/>
        <w:numPr>
          <w:ilvl w:val="0"/>
          <w:numId w:val="26"/>
        </w:numPr>
        <w:spacing w:before="240" w:beforeAutospacing="0" w:after="240" w:afterAutospacing="0" w:line="259" w:lineRule="auto"/>
        <w:jc w:val="left"/>
        <w:rPr>
          <w:i/>
          <w:color w:val="C45911" w:themeColor="accent2" w:themeShade="BF"/>
        </w:rPr>
      </w:pPr>
      <w:r w:rsidRPr="00A75337">
        <w:rPr>
          <w:rFonts w:eastAsiaTheme="minorEastAsia"/>
          <w:b/>
          <w:bCs/>
        </w:rPr>
        <w:t>Multi-Access Support</w:t>
      </w:r>
      <w:r w:rsidRPr="002229B8">
        <w:rPr>
          <w:b/>
          <w:bCs/>
        </w:rPr>
        <w:t>:</w:t>
      </w:r>
      <w:r w:rsidRPr="002229B8">
        <w:t xml:space="preserve"> </w:t>
      </w:r>
      <w:r w:rsidR="00C43D2C">
        <w:t>The middleware</w:t>
      </w:r>
      <w:r w:rsidRPr="002229B8">
        <w:t xml:space="preserve"> solution should support multiple access methods for authorised users to create, deploy, and manage </w:t>
      </w:r>
      <w:r w:rsidR="00D17704" w:rsidRPr="002229B8">
        <w:t>middleware configuration</w:t>
      </w:r>
      <w:r w:rsidRPr="002229B8">
        <w:t xml:space="preserve"> over an internet connection. This includes web interface uploads (e.g., application, environment configurations, and dependencies files) and access options provided via Software Development Kits (SDKs), such as plugins for common IDEs (e.g., Eclipse, Visual Studio Code, IntelliJ, PyCharm), Command Line Interface (CLI), and APIs. </w:t>
      </w:r>
      <w:r w:rsidRPr="002229B8">
        <w:rPr>
          <w:i/>
          <w:iCs/>
          <w:color w:val="C45911" w:themeColor="accent2" w:themeShade="BF"/>
        </w:rPr>
        <w:t>[specify desired platform multi-access requirements]</w:t>
      </w:r>
    </w:p>
    <w:p w14:paraId="5E79C922" w14:textId="255F0D81" w:rsidR="00C45BF4" w:rsidRPr="002229B8" w:rsidRDefault="00C45BF4" w:rsidP="00B17E1F">
      <w:pPr>
        <w:pStyle w:val="ListParagraph"/>
        <w:numPr>
          <w:ilvl w:val="0"/>
          <w:numId w:val="26"/>
        </w:numPr>
        <w:spacing w:before="240" w:beforeAutospacing="0" w:after="240" w:afterAutospacing="0" w:line="259" w:lineRule="auto"/>
        <w:jc w:val="left"/>
        <w:rPr>
          <w:i/>
          <w:color w:val="C45911" w:themeColor="accent2" w:themeShade="BF"/>
        </w:rPr>
      </w:pPr>
      <w:r w:rsidRPr="002229B8">
        <w:rPr>
          <w:b/>
          <w:bCs/>
        </w:rPr>
        <w:t>Multi-language and development support:</w:t>
      </w:r>
      <w:r w:rsidRPr="002229B8">
        <w:t xml:space="preserve"> Middl</w:t>
      </w:r>
      <w:r w:rsidR="009D4CDE" w:rsidRPr="002229B8">
        <w:t>e</w:t>
      </w:r>
      <w:r w:rsidRPr="002229B8">
        <w:t xml:space="preserve">ware solution should provide pre-configured and flexible runtime environments, development tools and plugins compatible with diverse IDEs (e.g., VSCode, IntelliJ, Eclipse, PyCharm), and development, testing, deployment, monitoring and debugging functionalities that support multiple programming languages (e.g., Python, Go, Ruby, Java, Node.js, PHP, .NET) </w:t>
      </w:r>
      <w:r w:rsidRPr="002229B8">
        <w:rPr>
          <w:i/>
          <w:iCs/>
          <w:color w:val="C45911" w:themeColor="accent2" w:themeShade="BF"/>
        </w:rPr>
        <w:t>[specify minimum desired multi-language support levels for the middleware solution]</w:t>
      </w:r>
    </w:p>
    <w:p w14:paraId="45E5FC82" w14:textId="77777777" w:rsidR="007023D1" w:rsidRPr="00AF0E2A" w:rsidRDefault="007023D1" w:rsidP="00B17E1F">
      <w:pPr>
        <w:pStyle w:val="Heading2"/>
        <w:keepLines/>
        <w:numPr>
          <w:ilvl w:val="1"/>
          <w:numId w:val="2"/>
        </w:numPr>
        <w:spacing w:before="100" w:beforeAutospacing="1"/>
        <w:ind w:left="936" w:hanging="576"/>
        <w:rPr>
          <w:rFonts w:eastAsiaTheme="majorEastAsia" w:cstheme="majorBidi"/>
          <w:u w:val="none"/>
        </w:rPr>
      </w:pPr>
      <w:bookmarkStart w:id="76" w:name="_Toc191487095"/>
      <w:r w:rsidRPr="00AF0E2A">
        <w:rPr>
          <w:rFonts w:eastAsiaTheme="majorEastAsia" w:cstheme="majorBidi"/>
          <w:u w:val="none"/>
        </w:rPr>
        <w:t>Minimum interoperability requirements</w:t>
      </w:r>
      <w:bookmarkEnd w:id="76"/>
      <w:r w:rsidRPr="00AF0E2A">
        <w:rPr>
          <w:rFonts w:eastAsiaTheme="majorEastAsia" w:cstheme="majorBidi"/>
          <w:u w:val="none"/>
        </w:rPr>
        <w:t xml:space="preserve">  </w:t>
      </w:r>
    </w:p>
    <w:p w14:paraId="41789912" w14:textId="77777777" w:rsidR="00742064" w:rsidRPr="00742064" w:rsidRDefault="007023D1" w:rsidP="00742064">
      <w:pPr>
        <w:rPr>
          <w:color w:val="C04F15"/>
          <w:lang w:eastAsia="ja-JP"/>
        </w:rPr>
      </w:pPr>
      <w:r w:rsidRPr="002229B8">
        <w:rPr>
          <w:i/>
          <w:color w:val="C45911" w:themeColor="accent2" w:themeShade="BF"/>
        </w:rPr>
        <w:t>[</w:t>
      </w:r>
      <w:r w:rsidR="00742064" w:rsidRPr="00742064">
        <w:rPr>
          <w:b/>
          <w:i/>
          <w:color w:val="C04F15"/>
          <w:lang w:eastAsia="ja-JP"/>
        </w:rPr>
        <w:t>Please note</w:t>
      </w:r>
      <w:r w:rsidR="00742064" w:rsidRPr="00742064">
        <w:rPr>
          <w:i/>
          <w:color w:val="C04F15"/>
          <w:lang w:eastAsia="ja-JP"/>
        </w:rPr>
        <w:t>: The CA is encouraged to seek to purchase solutions that adhere to the Minimal Interoperability Mechanisms (MIMs) Plus defined by the Living-in.EU (LI.EU) initiative. MIMs Plus provide a set of technical specifications to ensure minimum interoperability between different systems and platforms used in smart cities and communities. Please note that to aid readability, the following text refers to “MIMs Plus” as “MIMs</w:t>
      </w:r>
      <w:r w:rsidR="00742064" w:rsidRPr="00742064">
        <w:rPr>
          <w:color w:val="C04F15"/>
          <w:lang w:eastAsia="ja-JP"/>
        </w:rPr>
        <w:t>”.</w:t>
      </w:r>
    </w:p>
    <w:p w14:paraId="4A9528F2" w14:textId="77777777" w:rsidR="00742064" w:rsidRPr="00742064" w:rsidRDefault="00742064" w:rsidP="00742064">
      <w:pPr>
        <w:spacing w:before="0" w:beforeAutospacing="0" w:after="160" w:afterAutospacing="0" w:line="278" w:lineRule="auto"/>
        <w:rPr>
          <w:color w:val="C04F15"/>
          <w:lang w:eastAsia="ja-JP"/>
        </w:rPr>
      </w:pPr>
      <w:r w:rsidRPr="00742064">
        <w:rPr>
          <w:i/>
          <w:color w:val="C04F15"/>
          <w:lang w:eastAsia="ja-JP"/>
        </w:rPr>
        <w:t xml:space="preserve">Insert this section if the CA seeks proposals adherent to the applicable MIMs. Customise the minimum interoperability requirements as deemed relevant, consulting up to date information of the MIMs at the </w:t>
      </w:r>
      <w:hyperlink r:id="rId12" w:history="1">
        <w:r w:rsidRPr="00742064">
          <w:rPr>
            <w:i/>
            <w:color w:val="C04F15"/>
            <w:u w:val="single"/>
            <w:lang w:eastAsia="ja-JP"/>
          </w:rPr>
          <w:t>OASC</w:t>
        </w:r>
      </w:hyperlink>
      <w:r w:rsidRPr="00742064">
        <w:rPr>
          <w:i/>
          <w:color w:val="C04F15"/>
          <w:lang w:eastAsia="ja-JP"/>
        </w:rPr>
        <w:t xml:space="preserve"> and </w:t>
      </w:r>
      <w:hyperlink r:id="rId13" w:history="1">
        <w:r w:rsidRPr="00742064">
          <w:rPr>
            <w:i/>
            <w:color w:val="C04F15"/>
            <w:u w:val="single"/>
            <w:lang w:eastAsia="ja-JP"/>
          </w:rPr>
          <w:t>Living-in.EU</w:t>
        </w:r>
      </w:hyperlink>
      <w:r w:rsidRPr="00742064">
        <w:rPr>
          <w:i/>
          <w:color w:val="C04F15"/>
          <w:lang w:eastAsia="ja-JP"/>
        </w:rPr>
        <w:t xml:space="preserve"> websites</w:t>
      </w:r>
      <w:r w:rsidRPr="00742064">
        <w:rPr>
          <w:color w:val="C04F15"/>
          <w:lang w:eastAsia="ja-JP"/>
        </w:rPr>
        <w:t>.</w:t>
      </w:r>
    </w:p>
    <w:p w14:paraId="5750AAD9" w14:textId="77777777" w:rsidR="00742064" w:rsidRPr="00742064" w:rsidRDefault="00742064" w:rsidP="00742064">
      <w:pPr>
        <w:spacing w:before="0" w:beforeAutospacing="0" w:after="160" w:afterAutospacing="0" w:line="278" w:lineRule="auto"/>
        <w:rPr>
          <w:color w:val="C04F15"/>
          <w:lang w:eastAsia="ja-JP"/>
        </w:rPr>
      </w:pPr>
      <w:r w:rsidRPr="00742064">
        <w:rPr>
          <w:i/>
          <w:iCs/>
          <w:color w:val="C04F15"/>
          <w:lang w:eastAsia="ja-JP"/>
        </w:rPr>
        <w:t>If the contract is divided into multiple lots, apply one or more of the following relevant, modular sets of minimum interoperability requirements for the object(s) of procurement corresponding to each lot.</w:t>
      </w:r>
      <w:r w:rsidRPr="00742064">
        <w:rPr>
          <w:iCs/>
          <w:color w:val="C04F15"/>
          <w:lang w:eastAsia="ja-JP"/>
        </w:rPr>
        <w:t xml:space="preserve">] </w:t>
      </w:r>
    </w:p>
    <w:p w14:paraId="4CB725FE" w14:textId="77777777" w:rsidR="00742064" w:rsidRPr="00742064" w:rsidRDefault="00742064" w:rsidP="00742064">
      <w:pPr>
        <w:spacing w:before="0" w:beforeAutospacing="0" w:after="160" w:afterAutospacing="0" w:line="278" w:lineRule="auto"/>
        <w:rPr>
          <w:lang w:eastAsia="ja-JP"/>
        </w:rPr>
      </w:pPr>
      <w:r w:rsidRPr="00742064">
        <w:rPr>
          <w:lang w:eastAsia="ja-JP"/>
        </w:rPr>
        <w:t xml:space="preserve">Interoperability is paramount in public sector procurement. However, to allow suppliers sufficient degrees of freedom in their proposed solutions, this tender does not specify the exact specifications and standards suppliers should adhere to. Rather, it requires candidates to align with minimal, yet sufficient interoperability requirements, so called MIMs Plus. These MIMs Plus are detailed in the MIMs Plus specification released annually by Living-in.EU initiative.  </w:t>
      </w:r>
    </w:p>
    <w:p w14:paraId="29394EFA" w14:textId="77777777" w:rsidR="00742064" w:rsidRPr="00742064" w:rsidRDefault="00742064" w:rsidP="00742064">
      <w:pPr>
        <w:spacing w:before="0" w:beforeAutospacing="0" w:after="160" w:afterAutospacing="0" w:line="278" w:lineRule="auto"/>
        <w:rPr>
          <w:lang w:eastAsia="ja-JP"/>
        </w:rPr>
      </w:pPr>
      <w:r w:rsidRPr="00742064">
        <w:rPr>
          <w:lang w:eastAsia="ja-JP"/>
        </w:rPr>
        <w:t xml:space="preserve">As technologies evolve, so does the MIMs Plus specification. This tender refers to MIMs Plus 7.0. Future versions may supersede this, but backwards compatibility is guaranteed by the </w:t>
      </w:r>
      <w:hyperlink r:id="rId14" w:history="1">
        <w:r w:rsidRPr="00742064">
          <w:rPr>
            <w:color w:val="467886"/>
            <w:u w:val="single"/>
            <w:lang w:eastAsia="ja-JP"/>
          </w:rPr>
          <w:t>Living-in.EU</w:t>
        </w:r>
      </w:hyperlink>
      <w:r w:rsidRPr="00742064">
        <w:rPr>
          <w:lang w:eastAsia="ja-JP"/>
        </w:rPr>
        <w:t xml:space="preserve"> initiative and the </w:t>
      </w:r>
      <w:hyperlink r:id="rId15" w:history="1">
        <w:r w:rsidRPr="00742064">
          <w:rPr>
            <w:color w:val="467886"/>
            <w:u w:val="single"/>
            <w:lang w:eastAsia="ja-JP"/>
          </w:rPr>
          <w:t>Open &amp; Agile Smart Cities &amp; Communities (OASC) network.</w:t>
        </w:r>
      </w:hyperlink>
      <w:r w:rsidRPr="00742064">
        <w:rPr>
          <w:lang w:eastAsia="ja-JP"/>
        </w:rPr>
        <w:t xml:space="preserve"> Please </w:t>
      </w:r>
      <w:r w:rsidRPr="00742064">
        <w:rPr>
          <w:lang w:eastAsia="ja-JP"/>
        </w:rPr>
        <w:lastRenderedPageBreak/>
        <w:t xml:space="preserve">consult the latest version of this specification, which is available at the </w:t>
      </w:r>
      <w:hyperlink r:id="rId16" w:history="1">
        <w:r w:rsidRPr="00742064">
          <w:rPr>
            <w:color w:val="467886"/>
            <w:u w:val="single"/>
            <w:lang w:eastAsia="ja-JP"/>
          </w:rPr>
          <w:t>Living-in.EU Technical Working Group website</w:t>
        </w:r>
      </w:hyperlink>
      <w:r w:rsidRPr="00742064">
        <w:rPr>
          <w:lang w:eastAsia="ja-JP"/>
        </w:rPr>
        <w:t>,  for any pointers on how to describe the interoperability mechanisms relevant to this tender.</w:t>
      </w:r>
    </w:p>
    <w:p w14:paraId="16978E29" w14:textId="77777777" w:rsidR="00742064" w:rsidRPr="00742064" w:rsidRDefault="00742064" w:rsidP="00742064">
      <w:pPr>
        <w:spacing w:before="0" w:beforeAutospacing="0" w:after="160" w:afterAutospacing="0" w:line="278" w:lineRule="auto"/>
        <w:rPr>
          <w:color w:val="C45911"/>
          <w:lang w:eastAsia="ja-JP"/>
        </w:rPr>
      </w:pPr>
      <w:r w:rsidRPr="00742064">
        <w:rPr>
          <w:lang w:eastAsia="ja-JP"/>
        </w:rPr>
        <w:t xml:space="preserve">The CA seeks to purchase technological solutions that ensure minimum sufficient interoperability with the city systems by complying with the MIMs </w:t>
      </w:r>
      <w:r w:rsidRPr="00742064">
        <w:rPr>
          <w:i/>
          <w:color w:val="C04F15"/>
          <w:lang w:eastAsia="ja-JP"/>
        </w:rPr>
        <w:t>[Include additional MIMs or eliminate the ones not applicable, if needed]</w:t>
      </w:r>
      <w:r w:rsidRPr="00742064">
        <w:rPr>
          <w:color w:val="000000"/>
          <w:lang w:eastAsia="ja-JP"/>
        </w:rPr>
        <w:t>, as defined below:</w:t>
      </w:r>
    </w:p>
    <w:p w14:paraId="4F357D5B" w14:textId="77777777" w:rsidR="00742064" w:rsidRPr="00742064" w:rsidRDefault="00742064" w:rsidP="00742064">
      <w:pPr>
        <w:spacing w:before="0" w:beforeAutospacing="0" w:after="160" w:afterAutospacing="0" w:line="278" w:lineRule="auto"/>
        <w:rPr>
          <w:b/>
          <w:bCs/>
          <w:lang w:eastAsia="ja-JP"/>
        </w:rPr>
      </w:pPr>
      <w:r w:rsidRPr="00742064">
        <w:rPr>
          <w:b/>
          <w:bCs/>
          <w:lang w:eastAsia="ja-JP"/>
        </w:rPr>
        <w:t>MIM1 Objective:</w:t>
      </w:r>
    </w:p>
    <w:p w14:paraId="5216EA51" w14:textId="77777777" w:rsidR="00742064" w:rsidRPr="00742064" w:rsidRDefault="00742064" w:rsidP="00742064">
      <w:pPr>
        <w:numPr>
          <w:ilvl w:val="0"/>
          <w:numId w:val="42"/>
        </w:numPr>
        <w:spacing w:before="240" w:beforeAutospacing="0" w:after="240" w:afterAutospacing="0" w:line="278" w:lineRule="auto"/>
        <w:contextualSpacing/>
        <w:jc w:val="left"/>
        <w:rPr>
          <w:lang w:eastAsia="ja-JP"/>
        </w:rPr>
      </w:pPr>
      <w:r w:rsidRPr="00742064">
        <w:rPr>
          <w:lang w:eastAsia="ja-JP"/>
        </w:rPr>
        <w:t xml:space="preserve">To enable context information from different systems within or across organisations, such as cities or communities, originating from heterogeneous sources, to be brought together using a Web based API. </w:t>
      </w:r>
    </w:p>
    <w:p w14:paraId="54281298" w14:textId="77777777" w:rsidR="00742064" w:rsidRPr="00742064" w:rsidRDefault="00742064" w:rsidP="00742064">
      <w:pPr>
        <w:numPr>
          <w:ilvl w:val="0"/>
          <w:numId w:val="42"/>
        </w:numPr>
        <w:spacing w:before="240" w:beforeAutospacing="0" w:after="240" w:afterAutospacing="0" w:line="278" w:lineRule="auto"/>
        <w:contextualSpacing/>
        <w:jc w:val="left"/>
        <w:rPr>
          <w:lang w:eastAsia="ja-JP"/>
        </w:rPr>
      </w:pPr>
      <w:r w:rsidRPr="00742064">
        <w:rPr>
          <w:lang w:eastAsia="ja-JP"/>
        </w:rPr>
        <w:t>To enable comprehensive and integrated use, reuse and sharing of data as well as management of context information.</w:t>
      </w:r>
    </w:p>
    <w:p w14:paraId="205E4403" w14:textId="77777777" w:rsidR="00742064" w:rsidRPr="00742064" w:rsidRDefault="00742064" w:rsidP="00742064">
      <w:pPr>
        <w:numPr>
          <w:ilvl w:val="0"/>
          <w:numId w:val="42"/>
        </w:numPr>
        <w:spacing w:before="240" w:beforeAutospacing="0" w:after="240" w:afterAutospacing="0" w:line="278" w:lineRule="auto"/>
        <w:contextualSpacing/>
        <w:jc w:val="left"/>
        <w:rPr>
          <w:lang w:eastAsia="ja-JP"/>
        </w:rPr>
      </w:pPr>
      <w:r w:rsidRPr="00742064">
        <w:rPr>
          <w:lang w:eastAsia="ja-JP"/>
        </w:rPr>
        <w:t>To turn data into a strategic resource.</w:t>
      </w:r>
    </w:p>
    <w:p w14:paraId="5B63E50E" w14:textId="77777777" w:rsidR="00742064" w:rsidRPr="00742064" w:rsidRDefault="00742064" w:rsidP="00742064">
      <w:pPr>
        <w:spacing w:before="0" w:beforeAutospacing="0" w:after="160" w:afterAutospacing="0" w:line="278" w:lineRule="auto"/>
        <w:rPr>
          <w:b/>
          <w:bCs/>
          <w:lang w:eastAsia="ja-JP"/>
        </w:rPr>
      </w:pPr>
      <w:r w:rsidRPr="00742064">
        <w:rPr>
          <w:b/>
          <w:bCs/>
          <w:lang w:eastAsia="ja-JP"/>
        </w:rPr>
        <w:t>MIM2 Objective:</w:t>
      </w:r>
    </w:p>
    <w:p w14:paraId="22572C3E" w14:textId="77777777" w:rsidR="00742064" w:rsidRPr="00742064" w:rsidRDefault="00742064" w:rsidP="00742064">
      <w:pPr>
        <w:numPr>
          <w:ilvl w:val="0"/>
          <w:numId w:val="43"/>
        </w:numPr>
        <w:spacing w:before="0" w:beforeAutospacing="0" w:after="160" w:afterAutospacing="0" w:line="278" w:lineRule="auto"/>
        <w:contextualSpacing/>
        <w:jc w:val="left"/>
        <w:rPr>
          <w:lang w:eastAsia="ja-JP"/>
        </w:rPr>
      </w:pPr>
      <w:r w:rsidRPr="00742064">
        <w:rPr>
          <w:lang w:eastAsia="ja-JP"/>
        </w:rPr>
        <w:t>To support cities and communities to use consistent and machine-undertstandable definitions of all the entities about which data is being captured in a data ecosystem, along with a consistent set of identifiers of individual instances of each entity, so that data about any entity can be combined with other data referring to that entity, and every instance of that entity, in the confidence that they refer to the same thing.</w:t>
      </w:r>
    </w:p>
    <w:p w14:paraId="610BE596" w14:textId="77777777" w:rsidR="00742064" w:rsidRPr="00742064" w:rsidRDefault="00742064" w:rsidP="00742064">
      <w:pPr>
        <w:spacing w:before="0" w:beforeAutospacing="0" w:after="160" w:afterAutospacing="0" w:line="278" w:lineRule="auto"/>
        <w:rPr>
          <w:b/>
          <w:bCs/>
          <w:lang w:eastAsia="ja-JP"/>
        </w:rPr>
      </w:pPr>
      <w:r w:rsidRPr="00742064">
        <w:rPr>
          <w:b/>
          <w:bCs/>
          <w:lang w:eastAsia="ja-JP"/>
        </w:rPr>
        <w:t>MIM6 Objective:</w:t>
      </w:r>
    </w:p>
    <w:p w14:paraId="2073876E" w14:textId="77777777" w:rsidR="00742064" w:rsidRPr="00742064" w:rsidRDefault="00742064" w:rsidP="00742064">
      <w:pPr>
        <w:numPr>
          <w:ilvl w:val="0"/>
          <w:numId w:val="47"/>
        </w:numPr>
        <w:spacing w:before="240" w:beforeAutospacing="0" w:after="240" w:afterAutospacing="0" w:line="278" w:lineRule="auto"/>
        <w:contextualSpacing/>
        <w:jc w:val="left"/>
        <w:rPr>
          <w:lang w:eastAsia="ja-JP"/>
        </w:rPr>
      </w:pPr>
      <w:r w:rsidRPr="00742064">
        <w:rPr>
          <w:lang w:eastAsia="ja-JP"/>
        </w:rPr>
        <w:t xml:space="preserve">When information is transferred, between parts of the data platform or externally, this is done securely. </w:t>
      </w:r>
    </w:p>
    <w:p w14:paraId="0B1F5BEF" w14:textId="77777777" w:rsidR="00742064" w:rsidRPr="00742064" w:rsidRDefault="00742064" w:rsidP="00742064">
      <w:pPr>
        <w:numPr>
          <w:ilvl w:val="0"/>
          <w:numId w:val="47"/>
        </w:numPr>
        <w:spacing w:before="240" w:beforeAutospacing="0" w:after="240" w:afterAutospacing="0" w:line="278" w:lineRule="auto"/>
        <w:contextualSpacing/>
        <w:jc w:val="left"/>
        <w:rPr>
          <w:lang w:eastAsia="ja-JP"/>
        </w:rPr>
      </w:pPr>
      <w:r w:rsidRPr="00742064">
        <w:rPr>
          <w:lang w:eastAsia="ja-JP"/>
        </w:rPr>
        <w:t>Data processors know what requirements concerning security and interoperability to make of suppliers and systems when evaluating, procuring, developing, operating, and using solutions.</w:t>
      </w:r>
    </w:p>
    <w:p w14:paraId="5E2E2226" w14:textId="77777777" w:rsidR="00742064" w:rsidRPr="00742064" w:rsidRDefault="00742064" w:rsidP="00742064">
      <w:pPr>
        <w:spacing w:before="0" w:beforeAutospacing="0" w:after="160" w:afterAutospacing="0" w:line="278" w:lineRule="auto"/>
        <w:rPr>
          <w:i/>
          <w:iCs/>
          <w:color w:val="C04F15"/>
          <w:lang w:eastAsia="ja-JP"/>
        </w:rPr>
      </w:pPr>
      <w:r w:rsidRPr="00742064">
        <w:rPr>
          <w:lang w:eastAsia="ja-JP"/>
        </w:rPr>
        <w:t>The following table illustrates the specific technical and functional requirements for which</w:t>
      </w:r>
      <w:r w:rsidRPr="00742064">
        <w:rPr>
          <w:i/>
          <w:iCs/>
          <w:color w:val="E97132"/>
          <w:lang w:eastAsia="ja-JP"/>
        </w:rPr>
        <w:t xml:space="preserve"> </w:t>
      </w:r>
      <w:r w:rsidRPr="00742064">
        <w:rPr>
          <w:lang w:eastAsia="ja-JP"/>
        </w:rPr>
        <w:t>adherence to the listed MIMs is</w:t>
      </w:r>
      <w:r w:rsidRPr="00742064">
        <w:rPr>
          <w:i/>
          <w:iCs/>
          <w:color w:val="E97132"/>
          <w:lang w:eastAsia="ja-JP"/>
        </w:rPr>
        <w:t xml:space="preserve"> </w:t>
      </w:r>
      <w:r w:rsidRPr="00742064">
        <w:rPr>
          <w:i/>
          <w:iCs/>
          <w:color w:val="C04F15"/>
          <w:lang w:eastAsia="ja-JP"/>
        </w:rPr>
        <w:t>[recommended/required]:</w:t>
      </w:r>
    </w:p>
    <w:tbl>
      <w:tblPr>
        <w:tblStyle w:val="TableGrid"/>
        <w:tblW w:w="0" w:type="auto"/>
        <w:tblLook w:val="04A0" w:firstRow="1" w:lastRow="0" w:firstColumn="1" w:lastColumn="0" w:noHBand="0" w:noVBand="1"/>
      </w:tblPr>
      <w:tblGrid>
        <w:gridCol w:w="1496"/>
        <w:gridCol w:w="696"/>
        <w:gridCol w:w="4920"/>
        <w:gridCol w:w="2238"/>
      </w:tblGrid>
      <w:tr w:rsidR="007023D1" w:rsidRPr="002229B8" w14:paraId="667DE99F" w14:textId="77777777">
        <w:tc>
          <w:tcPr>
            <w:tcW w:w="1496" w:type="dxa"/>
          </w:tcPr>
          <w:p w14:paraId="2BDDDA5F" w14:textId="77777777" w:rsidR="007023D1" w:rsidRPr="002229B8" w:rsidRDefault="007023D1">
            <w:pPr>
              <w:spacing w:after="240" w:afterAutospacing="0"/>
              <w:rPr>
                <w:b/>
                <w:bCs/>
              </w:rPr>
            </w:pPr>
            <w:r w:rsidRPr="002229B8">
              <w:rPr>
                <w:b/>
                <w:bCs/>
              </w:rPr>
              <w:t>Type of requirement</w:t>
            </w:r>
          </w:p>
        </w:tc>
        <w:tc>
          <w:tcPr>
            <w:tcW w:w="5616" w:type="dxa"/>
            <w:gridSpan w:val="2"/>
          </w:tcPr>
          <w:p w14:paraId="790F45A6" w14:textId="77777777" w:rsidR="007023D1" w:rsidRPr="002229B8" w:rsidRDefault="007023D1">
            <w:pPr>
              <w:spacing w:after="240" w:afterAutospacing="0"/>
              <w:rPr>
                <w:b/>
                <w:bCs/>
              </w:rPr>
            </w:pPr>
            <w:r w:rsidRPr="002229B8">
              <w:rPr>
                <w:b/>
                <w:bCs/>
              </w:rPr>
              <w:t>Requirement</w:t>
            </w:r>
          </w:p>
        </w:tc>
        <w:tc>
          <w:tcPr>
            <w:tcW w:w="2238" w:type="dxa"/>
          </w:tcPr>
          <w:p w14:paraId="59EFFB06" w14:textId="77777777" w:rsidR="007023D1" w:rsidRPr="002229B8" w:rsidRDefault="007023D1">
            <w:pPr>
              <w:spacing w:after="240" w:afterAutospacing="0"/>
              <w:rPr>
                <w:b/>
                <w:bCs/>
              </w:rPr>
            </w:pPr>
            <w:r w:rsidRPr="002229B8">
              <w:rPr>
                <w:b/>
                <w:bCs/>
              </w:rPr>
              <w:t>Applicable MIM</w:t>
            </w:r>
          </w:p>
        </w:tc>
      </w:tr>
      <w:tr w:rsidR="007023D1" w:rsidRPr="002229B8" w14:paraId="191D175F" w14:textId="77777777">
        <w:trPr>
          <w:trHeight w:val="507"/>
        </w:trPr>
        <w:tc>
          <w:tcPr>
            <w:tcW w:w="1496" w:type="dxa"/>
          </w:tcPr>
          <w:p w14:paraId="07786DCE" w14:textId="77777777" w:rsidR="007023D1" w:rsidRPr="002229B8" w:rsidRDefault="007023D1">
            <w:pPr>
              <w:spacing w:after="240" w:afterAutospacing="0"/>
            </w:pPr>
            <w:r w:rsidRPr="002229B8">
              <w:t>Functional requirements</w:t>
            </w:r>
          </w:p>
        </w:tc>
        <w:tc>
          <w:tcPr>
            <w:tcW w:w="696" w:type="dxa"/>
          </w:tcPr>
          <w:p w14:paraId="321920AC" w14:textId="6CA368C5" w:rsidR="007023D1" w:rsidRPr="002229B8" w:rsidRDefault="00744E20">
            <w:pPr>
              <w:spacing w:after="240" w:afterAutospacing="0"/>
            </w:pPr>
            <w:r w:rsidRPr="002229B8">
              <w:t>1</w:t>
            </w:r>
          </w:p>
        </w:tc>
        <w:tc>
          <w:tcPr>
            <w:tcW w:w="4920" w:type="dxa"/>
          </w:tcPr>
          <w:p w14:paraId="0907401A" w14:textId="51A36AC7" w:rsidR="007023D1" w:rsidRPr="002229B8" w:rsidRDefault="001735D6" w:rsidP="00744E20">
            <w:pPr>
              <w:spacing w:after="240" w:afterAutospacing="0"/>
            </w:pPr>
            <w:r w:rsidRPr="001735D6">
              <w:t xml:space="preserve">Connect existing databases, live measurement systems and other relevant IT infrastructure of a city (referred to as </w:t>
            </w:r>
            <w:r w:rsidRPr="001735D6">
              <w:rPr>
                <w:i/>
                <w:iCs/>
              </w:rPr>
              <w:t>city data systems</w:t>
            </w:r>
            <w:r w:rsidRPr="001735D6">
              <w:t>)  to the LDT backend, translating the different data entities to a format that is expected by the LDT.</w:t>
            </w:r>
          </w:p>
        </w:tc>
        <w:tc>
          <w:tcPr>
            <w:tcW w:w="2238" w:type="dxa"/>
          </w:tcPr>
          <w:p w14:paraId="7632E236" w14:textId="4767197C" w:rsidR="007023D1" w:rsidRPr="002229B8" w:rsidRDefault="000365A9">
            <w:pPr>
              <w:spacing w:after="240" w:afterAutospacing="0"/>
            </w:pPr>
            <w:r w:rsidRPr="002229B8">
              <w:t>MIM1, MIM2</w:t>
            </w:r>
          </w:p>
        </w:tc>
      </w:tr>
      <w:tr w:rsidR="007023D1" w:rsidRPr="002229B8" w14:paraId="5748DFB2" w14:textId="77777777">
        <w:tc>
          <w:tcPr>
            <w:tcW w:w="1496" w:type="dxa"/>
            <w:vMerge w:val="restart"/>
          </w:tcPr>
          <w:p w14:paraId="515D0C05" w14:textId="77777777" w:rsidR="007023D1" w:rsidRPr="002229B8" w:rsidRDefault="007023D1">
            <w:pPr>
              <w:spacing w:after="240" w:afterAutospacing="0"/>
            </w:pPr>
            <w:r w:rsidRPr="002229B8">
              <w:t>Technical requirements</w:t>
            </w:r>
          </w:p>
        </w:tc>
        <w:tc>
          <w:tcPr>
            <w:tcW w:w="696" w:type="dxa"/>
          </w:tcPr>
          <w:p w14:paraId="79A2ECBC" w14:textId="4FA75C10" w:rsidR="007023D1" w:rsidRPr="002229B8" w:rsidRDefault="00AD15CE">
            <w:pPr>
              <w:spacing w:after="240" w:afterAutospacing="0"/>
            </w:pPr>
            <w:r w:rsidRPr="002229B8">
              <w:t>2.a</w:t>
            </w:r>
          </w:p>
        </w:tc>
        <w:tc>
          <w:tcPr>
            <w:tcW w:w="4920" w:type="dxa"/>
          </w:tcPr>
          <w:p w14:paraId="7A60EF17" w14:textId="03441BFC" w:rsidR="007023D1" w:rsidRPr="002229B8" w:rsidRDefault="00680C21" w:rsidP="00AD15CE">
            <w:pPr>
              <w:spacing w:after="240" w:afterAutospacing="0"/>
              <w:rPr>
                <w:color w:val="C45911" w:themeColor="accent2" w:themeShade="BF"/>
              </w:rPr>
            </w:pPr>
            <w:r w:rsidRPr="00680C21">
              <w:rPr>
                <w:b/>
              </w:rPr>
              <w:t>Standard protocol support</w:t>
            </w:r>
            <w:r w:rsidRPr="00680C21">
              <w:t xml:space="preserve">: Enable consistent communication between city data systems and </w:t>
            </w:r>
            <w:r w:rsidRPr="00680C21">
              <w:lastRenderedPageBreak/>
              <w:t xml:space="preserve">LDT systems using standardised methods. Support of common communication protocols that the city data systems might use (e.g. REST, SOAP, MQTT, RabbitMQ). </w:t>
            </w:r>
            <w:r w:rsidRPr="00680C21">
              <w:rPr>
                <w:i/>
                <w:color w:val="C45911" w:themeColor="accent2" w:themeShade="BF"/>
              </w:rPr>
              <w:t xml:space="preserve">[specify desired communication protocols]  </w:t>
            </w:r>
          </w:p>
        </w:tc>
        <w:tc>
          <w:tcPr>
            <w:tcW w:w="2238" w:type="dxa"/>
          </w:tcPr>
          <w:p w14:paraId="73C13CDD" w14:textId="65061AE2" w:rsidR="007023D1" w:rsidRPr="002229B8" w:rsidRDefault="00E35F0F">
            <w:pPr>
              <w:spacing w:after="240" w:afterAutospacing="0"/>
            </w:pPr>
            <w:r w:rsidRPr="002229B8">
              <w:lastRenderedPageBreak/>
              <w:t>MIM1</w:t>
            </w:r>
          </w:p>
        </w:tc>
      </w:tr>
      <w:tr w:rsidR="007023D1" w:rsidRPr="002229B8" w14:paraId="23220B92" w14:textId="77777777">
        <w:tc>
          <w:tcPr>
            <w:tcW w:w="1496" w:type="dxa"/>
            <w:vMerge/>
          </w:tcPr>
          <w:p w14:paraId="21BAA1C8" w14:textId="77777777" w:rsidR="007023D1" w:rsidRPr="002229B8" w:rsidRDefault="007023D1">
            <w:pPr>
              <w:spacing w:after="240" w:afterAutospacing="0"/>
            </w:pPr>
          </w:p>
        </w:tc>
        <w:tc>
          <w:tcPr>
            <w:tcW w:w="696" w:type="dxa"/>
          </w:tcPr>
          <w:p w14:paraId="0FDD41A3" w14:textId="1C581A29" w:rsidR="007023D1" w:rsidRPr="002229B8" w:rsidRDefault="000365A9">
            <w:pPr>
              <w:spacing w:after="240" w:afterAutospacing="0"/>
            </w:pPr>
            <w:r w:rsidRPr="002229B8">
              <w:t>2.b</w:t>
            </w:r>
          </w:p>
        </w:tc>
        <w:tc>
          <w:tcPr>
            <w:tcW w:w="4920" w:type="dxa"/>
          </w:tcPr>
          <w:p w14:paraId="362BC4BC" w14:textId="25F7E583" w:rsidR="007023D1" w:rsidRPr="002229B8" w:rsidRDefault="009F5937">
            <w:pPr>
              <w:spacing w:after="240" w:afterAutospacing="0"/>
            </w:pPr>
            <w:r w:rsidRPr="002229B8">
              <w:rPr>
                <w:b/>
              </w:rPr>
              <w:t>Data format standardisation</w:t>
            </w:r>
            <w:r w:rsidRPr="002229B8">
              <w:t xml:space="preserve">: Ensure data can be interpreted and processed consistently across different systems and applications. </w:t>
            </w:r>
            <w:r w:rsidR="00922C07">
              <w:t>The solution</w:t>
            </w:r>
            <w:r w:rsidRPr="002229B8">
              <w:t xml:space="preserve"> should support the use of standardised data formats for data exchange (e.g., JSON, XML, and CSV).  </w:t>
            </w:r>
            <w:r w:rsidRPr="002229B8">
              <w:rPr>
                <w:i/>
                <w:color w:val="C45911" w:themeColor="accent2" w:themeShade="BF"/>
              </w:rPr>
              <w:t>[specify desired data formats]</w:t>
            </w:r>
            <w:r w:rsidRPr="002229B8">
              <w:t> </w:t>
            </w:r>
          </w:p>
        </w:tc>
        <w:tc>
          <w:tcPr>
            <w:tcW w:w="2238" w:type="dxa"/>
          </w:tcPr>
          <w:p w14:paraId="482734D1" w14:textId="5A80A913" w:rsidR="007023D1" w:rsidRPr="002229B8" w:rsidRDefault="00DE1106">
            <w:pPr>
              <w:spacing w:after="240" w:afterAutospacing="0"/>
            </w:pPr>
            <w:r w:rsidRPr="002229B8">
              <w:t>MIM2</w:t>
            </w:r>
          </w:p>
        </w:tc>
      </w:tr>
      <w:tr w:rsidR="007023D1" w:rsidRPr="002229B8" w14:paraId="7A984496" w14:textId="77777777">
        <w:tc>
          <w:tcPr>
            <w:tcW w:w="1496" w:type="dxa"/>
            <w:vMerge/>
          </w:tcPr>
          <w:p w14:paraId="6C22AB1D" w14:textId="77777777" w:rsidR="007023D1" w:rsidRPr="002229B8" w:rsidRDefault="007023D1">
            <w:pPr>
              <w:spacing w:after="240" w:afterAutospacing="0"/>
            </w:pPr>
          </w:p>
        </w:tc>
        <w:tc>
          <w:tcPr>
            <w:tcW w:w="696" w:type="dxa"/>
          </w:tcPr>
          <w:p w14:paraId="090B77E4" w14:textId="31FF02A6" w:rsidR="007023D1" w:rsidRPr="002229B8" w:rsidRDefault="002B7415">
            <w:pPr>
              <w:spacing w:after="240" w:afterAutospacing="0"/>
            </w:pPr>
            <w:r w:rsidRPr="002229B8">
              <w:t>2.c</w:t>
            </w:r>
          </w:p>
        </w:tc>
        <w:tc>
          <w:tcPr>
            <w:tcW w:w="4920" w:type="dxa"/>
          </w:tcPr>
          <w:p w14:paraId="18031F27" w14:textId="1B4760FB" w:rsidR="007023D1" w:rsidRPr="002229B8" w:rsidRDefault="00A662A2">
            <w:pPr>
              <w:spacing w:after="240" w:afterAutospacing="0"/>
            </w:pPr>
            <w:r w:rsidRPr="002229B8">
              <w:rPr>
                <w:b/>
              </w:rPr>
              <w:t>Data access interoperability</w:t>
            </w:r>
            <w:r w:rsidRPr="002229B8">
              <w:t xml:space="preserve">: Support reading from common database, data lake and data warehouse technologies (e.g. MySQL, </w:t>
            </w:r>
            <w:r w:rsidR="00580832">
              <w:t>PostgreSQL</w:t>
            </w:r>
            <w:r w:rsidRPr="002229B8">
              <w:t xml:space="preserve">, Snowflake, Hadoop, Redshift, SAP HANA). In addition, files on local or remote systems should be readable by the middleware as well (e.g. files on S3 blob storage, FTP directories, etc…) </w:t>
            </w:r>
            <w:r w:rsidRPr="002229B8">
              <w:rPr>
                <w:i/>
                <w:color w:val="C45911" w:themeColor="accent2" w:themeShade="BF"/>
              </w:rPr>
              <w:t>[specify desired data technology interoperability]</w:t>
            </w:r>
          </w:p>
        </w:tc>
        <w:tc>
          <w:tcPr>
            <w:tcW w:w="2238" w:type="dxa"/>
          </w:tcPr>
          <w:p w14:paraId="4ACECCEC" w14:textId="50476861" w:rsidR="007023D1" w:rsidRPr="002229B8" w:rsidRDefault="00672C92">
            <w:pPr>
              <w:spacing w:after="240" w:afterAutospacing="0"/>
            </w:pPr>
            <w:r w:rsidRPr="002229B8">
              <w:t>MIM1</w:t>
            </w:r>
          </w:p>
        </w:tc>
      </w:tr>
      <w:tr w:rsidR="007023D1" w:rsidRPr="002229B8" w14:paraId="515FA349" w14:textId="77777777">
        <w:tc>
          <w:tcPr>
            <w:tcW w:w="1496" w:type="dxa"/>
            <w:vMerge/>
          </w:tcPr>
          <w:p w14:paraId="3E8C19F1" w14:textId="77777777" w:rsidR="007023D1" w:rsidRPr="002229B8" w:rsidRDefault="007023D1">
            <w:pPr>
              <w:spacing w:after="240" w:afterAutospacing="0"/>
            </w:pPr>
          </w:p>
        </w:tc>
        <w:tc>
          <w:tcPr>
            <w:tcW w:w="696" w:type="dxa"/>
          </w:tcPr>
          <w:p w14:paraId="1FCBF850" w14:textId="506C3B54" w:rsidR="007023D1" w:rsidRPr="002229B8" w:rsidRDefault="00672C92">
            <w:pPr>
              <w:spacing w:after="240" w:afterAutospacing="0"/>
            </w:pPr>
            <w:r w:rsidRPr="002229B8">
              <w:t>2.d</w:t>
            </w:r>
          </w:p>
        </w:tc>
        <w:tc>
          <w:tcPr>
            <w:tcW w:w="4920" w:type="dxa"/>
          </w:tcPr>
          <w:p w14:paraId="6F01CCA8" w14:textId="4F0A8756" w:rsidR="007023D1" w:rsidRPr="002229B8" w:rsidRDefault="00672C92" w:rsidP="00672C92">
            <w:pPr>
              <w:spacing w:before="240" w:beforeAutospacing="0" w:after="240" w:afterAutospacing="0"/>
              <w:rPr>
                <w:i/>
              </w:rPr>
            </w:pPr>
            <w:r w:rsidRPr="002229B8">
              <w:rPr>
                <w:b/>
              </w:rPr>
              <w:t>API integration</w:t>
            </w:r>
            <w:r w:rsidRPr="002229B8">
              <w:t xml:space="preserve">: support integration of the middleware solution with other applications and systems so that they can operate the middleware solution through standardised communication protocols (e.g., via RESTful APIs) </w:t>
            </w:r>
            <w:r w:rsidRPr="002229B8">
              <w:rPr>
                <w:i/>
                <w:color w:val="C45911" w:themeColor="accent2" w:themeShade="BF"/>
              </w:rPr>
              <w:t>[specify desired API integration]</w:t>
            </w:r>
            <w:r w:rsidRPr="002229B8">
              <w:t xml:space="preserve"> </w:t>
            </w:r>
          </w:p>
        </w:tc>
        <w:tc>
          <w:tcPr>
            <w:tcW w:w="2238" w:type="dxa"/>
          </w:tcPr>
          <w:p w14:paraId="331540B1" w14:textId="1714B457" w:rsidR="007023D1" w:rsidRPr="002229B8" w:rsidRDefault="007023D1">
            <w:pPr>
              <w:spacing w:after="240" w:afterAutospacing="0"/>
            </w:pPr>
          </w:p>
        </w:tc>
      </w:tr>
      <w:tr w:rsidR="007023D1" w:rsidRPr="002229B8" w14:paraId="49BCA067" w14:textId="77777777">
        <w:tc>
          <w:tcPr>
            <w:tcW w:w="1496" w:type="dxa"/>
            <w:vMerge/>
          </w:tcPr>
          <w:p w14:paraId="5D081151" w14:textId="77777777" w:rsidR="007023D1" w:rsidRPr="002229B8" w:rsidRDefault="007023D1">
            <w:pPr>
              <w:spacing w:after="240" w:afterAutospacing="0"/>
            </w:pPr>
          </w:p>
        </w:tc>
        <w:tc>
          <w:tcPr>
            <w:tcW w:w="696" w:type="dxa"/>
          </w:tcPr>
          <w:p w14:paraId="198D3C8D" w14:textId="100E480D" w:rsidR="007023D1" w:rsidRPr="002229B8" w:rsidRDefault="00852B4E">
            <w:pPr>
              <w:spacing w:after="240" w:afterAutospacing="0"/>
            </w:pPr>
            <w:r w:rsidRPr="002229B8">
              <w:t>6</w:t>
            </w:r>
          </w:p>
        </w:tc>
        <w:tc>
          <w:tcPr>
            <w:tcW w:w="4920" w:type="dxa"/>
          </w:tcPr>
          <w:p w14:paraId="5A58A4D1" w14:textId="00E2A2C0" w:rsidR="007023D1" w:rsidRPr="002229B8" w:rsidRDefault="00852B4E">
            <w:pPr>
              <w:spacing w:after="240" w:afterAutospacing="0"/>
              <w:rPr>
                <w:b/>
                <w:bCs/>
              </w:rPr>
            </w:pPr>
            <w:r w:rsidRPr="002229B8">
              <w:rPr>
                <w:b/>
                <w:bCs/>
              </w:rPr>
              <w:t>Security</w:t>
            </w:r>
          </w:p>
        </w:tc>
        <w:tc>
          <w:tcPr>
            <w:tcW w:w="2238" w:type="dxa"/>
          </w:tcPr>
          <w:p w14:paraId="15B7DD97" w14:textId="3C2241DB" w:rsidR="007023D1" w:rsidRPr="002229B8" w:rsidRDefault="00852B4E">
            <w:pPr>
              <w:spacing w:after="240" w:afterAutospacing="0"/>
            </w:pPr>
            <w:r w:rsidRPr="002229B8">
              <w:t>MIM6</w:t>
            </w:r>
          </w:p>
        </w:tc>
      </w:tr>
      <w:tr w:rsidR="007023D1" w:rsidRPr="002229B8" w14:paraId="41AABFDC" w14:textId="77777777" w:rsidTr="437B3D64">
        <w:trPr>
          <w:trHeight w:val="300"/>
        </w:trPr>
        <w:tc>
          <w:tcPr>
            <w:tcW w:w="1496" w:type="dxa"/>
            <w:vMerge/>
          </w:tcPr>
          <w:p w14:paraId="6462723F" w14:textId="77777777" w:rsidR="007023D1" w:rsidRPr="002229B8" w:rsidRDefault="007023D1">
            <w:pPr>
              <w:spacing w:after="240" w:afterAutospacing="0"/>
            </w:pPr>
          </w:p>
        </w:tc>
        <w:tc>
          <w:tcPr>
            <w:tcW w:w="696" w:type="dxa"/>
          </w:tcPr>
          <w:p w14:paraId="2FC5CB21" w14:textId="0C7E1A72" w:rsidR="007023D1" w:rsidRPr="002229B8" w:rsidRDefault="005C507B">
            <w:pPr>
              <w:spacing w:after="240" w:afterAutospacing="0"/>
            </w:pPr>
            <w:r w:rsidRPr="002229B8">
              <w:t>7</w:t>
            </w:r>
          </w:p>
        </w:tc>
        <w:tc>
          <w:tcPr>
            <w:tcW w:w="4920" w:type="dxa"/>
          </w:tcPr>
          <w:p w14:paraId="520E8E93" w14:textId="239A988C" w:rsidR="007023D1" w:rsidRPr="002229B8" w:rsidRDefault="005C507B" w:rsidP="006425DA">
            <w:pPr>
              <w:spacing w:before="0" w:beforeAutospacing="0" w:after="160" w:afterAutospacing="0" w:line="256" w:lineRule="auto"/>
              <w:contextualSpacing/>
              <w:jc w:val="left"/>
              <w:rPr>
                <w:b/>
                <w:bCs/>
              </w:rPr>
            </w:pPr>
            <w:r w:rsidRPr="002229B8">
              <w:rPr>
                <w:b/>
                <w:bCs/>
              </w:rPr>
              <w:t>Data privacy</w:t>
            </w:r>
            <w:r w:rsidRPr="002229B8">
              <w:t xml:space="preserve">: Implement data storage solutions that are fully compliant with applicable privacy policies and legislations such as GDPR (e.g., implementation of access logs, allowing auditing, encrypting data, allowing deletion of data if requested by users (if applicable), compliance with data localisation/residency requirements, among others) </w:t>
            </w:r>
            <w:r w:rsidRPr="002229B8">
              <w:rPr>
                <w:i/>
                <w:color w:val="C45911" w:themeColor="accent2" w:themeShade="BF"/>
              </w:rPr>
              <w:t>[specify desired privacy measures]</w:t>
            </w:r>
            <w:r w:rsidRPr="002229B8">
              <w:t xml:space="preserve">  </w:t>
            </w:r>
          </w:p>
        </w:tc>
        <w:tc>
          <w:tcPr>
            <w:tcW w:w="2238" w:type="dxa"/>
          </w:tcPr>
          <w:p w14:paraId="13807239" w14:textId="4AF9BDF6" w:rsidR="007023D1" w:rsidRPr="002229B8" w:rsidRDefault="005C507B" w:rsidP="000D55E5">
            <w:pPr>
              <w:keepNext/>
              <w:spacing w:after="240" w:afterAutospacing="0"/>
            </w:pPr>
            <w:r w:rsidRPr="002229B8">
              <w:t>MIM6</w:t>
            </w:r>
          </w:p>
        </w:tc>
      </w:tr>
    </w:tbl>
    <w:p w14:paraId="0A971C9E" w14:textId="6C6B603F" w:rsidR="000D55E5" w:rsidRPr="002229B8" w:rsidRDefault="000D55E5" w:rsidP="000D55E5">
      <w:pPr>
        <w:pStyle w:val="Caption"/>
        <w:jc w:val="center"/>
      </w:pPr>
      <w:bookmarkStart w:id="77" w:name="_Toc191487100"/>
      <w:r w:rsidRPr="002229B8">
        <w:t xml:space="preserve">Table </w:t>
      </w:r>
      <w:r w:rsidRPr="002229B8">
        <w:fldChar w:fldCharType="begin"/>
      </w:r>
      <w:r w:rsidRPr="002229B8">
        <w:instrText xml:space="preserve"> SEQ Table \* ARABIC </w:instrText>
      </w:r>
      <w:r w:rsidRPr="002229B8">
        <w:fldChar w:fldCharType="separate"/>
      </w:r>
      <w:r w:rsidRPr="002229B8">
        <w:rPr>
          <w:noProof/>
        </w:rPr>
        <w:t>2</w:t>
      </w:r>
      <w:r w:rsidRPr="002229B8">
        <w:fldChar w:fldCharType="end"/>
      </w:r>
      <w:r w:rsidRPr="002229B8">
        <w:t xml:space="preserve"> - Applicable MIMs</w:t>
      </w:r>
      <w:bookmarkEnd w:id="77"/>
    </w:p>
    <w:p w14:paraId="0EEDB2C8" w14:textId="77777777" w:rsidR="006267A8" w:rsidRPr="00AF0E2A" w:rsidRDefault="006267A8" w:rsidP="00B17E1F">
      <w:pPr>
        <w:pStyle w:val="Heading2"/>
        <w:keepLines/>
        <w:numPr>
          <w:ilvl w:val="1"/>
          <w:numId w:val="2"/>
        </w:numPr>
        <w:spacing w:before="100" w:beforeAutospacing="1"/>
        <w:ind w:left="936" w:hanging="576"/>
        <w:rPr>
          <w:rFonts w:eastAsiaTheme="majorEastAsia" w:cstheme="majorBidi"/>
          <w:u w:val="none"/>
        </w:rPr>
      </w:pPr>
      <w:bookmarkStart w:id="78" w:name="_Toc180154482"/>
      <w:bookmarkStart w:id="79" w:name="_Toc191487096"/>
      <w:r w:rsidRPr="00AF0E2A">
        <w:rPr>
          <w:rFonts w:eastAsiaTheme="majorEastAsia" w:cstheme="majorBidi"/>
          <w:u w:val="none"/>
        </w:rPr>
        <w:lastRenderedPageBreak/>
        <w:t>Minimum environmental requirements</w:t>
      </w:r>
      <w:bookmarkEnd w:id="78"/>
      <w:bookmarkEnd w:id="79"/>
      <w:r w:rsidRPr="00AF0E2A">
        <w:rPr>
          <w:rFonts w:eastAsiaTheme="majorEastAsia" w:cstheme="majorBidi"/>
          <w:u w:val="none"/>
        </w:rPr>
        <w:t xml:space="preserve"> </w:t>
      </w:r>
    </w:p>
    <w:p w14:paraId="4FF04C9E" w14:textId="77777777" w:rsidR="006267A8" w:rsidRPr="002229B8" w:rsidRDefault="006267A8" w:rsidP="006267A8">
      <w:pPr>
        <w:spacing w:before="240" w:beforeAutospacing="0" w:after="240" w:afterAutospacing="0"/>
        <w:rPr>
          <w:b/>
          <w:bCs/>
          <w:i/>
          <w:iCs/>
          <w:sz w:val="28"/>
          <w:szCs w:val="28"/>
        </w:rPr>
      </w:pPr>
      <w:r w:rsidRPr="002229B8">
        <w:rPr>
          <w:color w:val="C45911" w:themeColor="accent2" w:themeShade="BF"/>
        </w:rPr>
        <w:t>[</w:t>
      </w:r>
      <w:r w:rsidRPr="002229B8">
        <w:rPr>
          <w:b/>
          <w:bCs/>
          <w:i/>
          <w:iCs/>
          <w:color w:val="C45911" w:themeColor="accent2" w:themeShade="BF"/>
        </w:rPr>
        <w:t xml:space="preserve">Please note: </w:t>
      </w:r>
      <w:r w:rsidRPr="002229B8">
        <w:rPr>
          <w:i/>
          <w:iCs/>
          <w:color w:val="C45911" w:themeColor="accent2" w:themeShade="BF"/>
        </w:rPr>
        <w:t>The inclusion of the following Article is optional</w:t>
      </w:r>
      <w:r w:rsidRPr="002229B8">
        <w:rPr>
          <w:b/>
          <w:bCs/>
          <w:i/>
          <w:iCs/>
          <w:color w:val="C45911" w:themeColor="accent2" w:themeShade="BF"/>
        </w:rPr>
        <w:t xml:space="preserve">. </w:t>
      </w:r>
      <w:r w:rsidRPr="002229B8">
        <w:rPr>
          <w:i/>
          <w:iCs/>
          <w:color w:val="C45911" w:themeColor="accent2" w:themeShade="BF"/>
        </w:rPr>
        <w:t>The CA is encouraged to seek to purchase solutions that favour the development of an environmental culture along its whole value chain according to the Integrated Product Policy promoted at the European level.</w:t>
      </w:r>
      <w:r w:rsidRPr="002229B8">
        <w:rPr>
          <w:color w:val="C45911" w:themeColor="accent2" w:themeShade="BF"/>
        </w:rPr>
        <w:t>]</w:t>
      </w:r>
    </w:p>
    <w:p w14:paraId="50B81872" w14:textId="77777777" w:rsidR="006267A8" w:rsidRPr="002229B8" w:rsidRDefault="006267A8" w:rsidP="006267A8">
      <w:pPr>
        <w:spacing w:before="240" w:beforeAutospacing="0" w:after="240" w:afterAutospacing="0"/>
      </w:pPr>
      <w:r w:rsidRPr="002229B8">
        <w:t>The CA promotes and favours the development of an environmental culture along its whole value chain, in coherence with the logic of the Integrated Product Policy promoted at the European level.</w:t>
      </w:r>
    </w:p>
    <w:p w14:paraId="418EBF75" w14:textId="77777777" w:rsidR="006267A8" w:rsidRPr="002229B8" w:rsidRDefault="006267A8" w:rsidP="006267A8">
      <w:pPr>
        <w:spacing w:before="240" w:beforeAutospacing="0" w:after="240" w:afterAutospacing="0"/>
      </w:pPr>
      <w:r w:rsidRPr="002229B8">
        <w:t>Specifically, the CA supports the various environmental policy tools, such as improvement programs prepared as part of the EU’s Environmental Management and Audit Scheme (EMAS) or ISO 14001 processes.</w:t>
      </w:r>
    </w:p>
    <w:p w14:paraId="1C53B084" w14:textId="77777777" w:rsidR="006267A8" w:rsidRPr="002229B8" w:rsidRDefault="006267A8" w:rsidP="006267A8">
      <w:pPr>
        <w:spacing w:before="240" w:beforeAutospacing="0" w:after="240" w:afterAutospacing="0"/>
      </w:pPr>
      <w:r w:rsidRPr="002229B8">
        <w:t>Thus, as part of the technical evaluation criteria described in the Tender Specifications Art. 5.2.3 and Art. 15 of the present document, a “bonus” score is assigned to all bidders possessing ISO 14001 certification.</w:t>
      </w:r>
    </w:p>
    <w:p w14:paraId="51A77698" w14:textId="77777777" w:rsidR="006267A8" w:rsidRPr="00AF0E2A" w:rsidRDefault="006267A8" w:rsidP="00B17E1F">
      <w:pPr>
        <w:pStyle w:val="Heading2"/>
        <w:keepLines/>
        <w:numPr>
          <w:ilvl w:val="1"/>
          <w:numId w:val="2"/>
        </w:numPr>
        <w:spacing w:before="100" w:beforeAutospacing="1"/>
        <w:ind w:left="936" w:hanging="576"/>
        <w:rPr>
          <w:rFonts w:eastAsiaTheme="majorEastAsia" w:cstheme="majorBidi"/>
          <w:u w:val="none"/>
        </w:rPr>
      </w:pPr>
      <w:bookmarkStart w:id="80" w:name="_Toc180154483"/>
      <w:bookmarkStart w:id="81" w:name="_Toc191487097"/>
      <w:r w:rsidRPr="00AF0E2A">
        <w:rPr>
          <w:rFonts w:eastAsiaTheme="majorEastAsia" w:cstheme="majorBidi"/>
          <w:u w:val="none"/>
        </w:rPr>
        <w:t>Data, privacy, data protection and security requirements</w:t>
      </w:r>
      <w:bookmarkEnd w:id="80"/>
      <w:bookmarkEnd w:id="81"/>
    </w:p>
    <w:p w14:paraId="44914A37" w14:textId="11AA6A89" w:rsidR="318EB4DF" w:rsidRPr="003A4052" w:rsidRDefault="318EB4DF" w:rsidP="003A4052">
      <w:pPr>
        <w:keepLines/>
      </w:pPr>
    </w:p>
    <w:p w14:paraId="48EB7181" w14:textId="56E4DD89" w:rsidR="55113192" w:rsidRPr="002229B8" w:rsidRDefault="55113192" w:rsidP="00204123">
      <w:r w:rsidRPr="002229B8">
        <w:t xml:space="preserve">The applicability of the following EU legal acts to middleware software depends on the specific use case, data types, and functions of the middleware in question. </w:t>
      </w:r>
    </w:p>
    <w:p w14:paraId="684979A9" w14:textId="0BADA9A8" w:rsidR="318EB4DF" w:rsidRDefault="318EB4DF"/>
    <w:p w14:paraId="2735136A" w14:textId="29FBD9B8" w:rsidR="55113192" w:rsidRPr="002229B8" w:rsidRDefault="55113192" w:rsidP="00204123">
      <w:pPr>
        <w:spacing w:before="0" w:beforeAutospacing="0" w:after="240" w:afterAutospacing="0"/>
        <w:rPr>
          <w:color w:val="000000" w:themeColor="text1"/>
        </w:rPr>
      </w:pPr>
      <w:r w:rsidRPr="002229B8">
        <w:rPr>
          <w:color w:val="000000" w:themeColor="text1"/>
        </w:rPr>
        <w:t xml:space="preserve">Software application services, such as middleware software, should adhere to legal requirements regarding personal and non-personal data processing and security. </w:t>
      </w:r>
    </w:p>
    <w:p w14:paraId="1A87E350" w14:textId="60807339" w:rsidR="55113192" w:rsidRPr="002229B8" w:rsidRDefault="55113192" w:rsidP="00204123">
      <w:pPr>
        <w:spacing w:before="120" w:beforeAutospacing="0" w:after="120" w:afterAutospacing="0"/>
        <w:rPr>
          <w:color w:val="000000" w:themeColor="text1"/>
        </w:rPr>
      </w:pPr>
      <w:r w:rsidRPr="002229B8">
        <w:rPr>
          <w:color w:val="000000" w:themeColor="text1"/>
        </w:rPr>
        <w:t xml:space="preserve">On an EU level, the following legislative framework sets key requirements for the lawful and fair processing of personal and non-personal data, as well as for their security and the security of the software and networks that capture, store, and transmit such data. </w:t>
      </w:r>
    </w:p>
    <w:p w14:paraId="104FFB34" w14:textId="585DEFFC" w:rsidR="55113192" w:rsidRPr="002229B8" w:rsidRDefault="55113192" w:rsidP="00204123">
      <w:pPr>
        <w:spacing w:before="120" w:beforeAutospacing="0" w:after="120" w:afterAutospacing="0"/>
        <w:rPr>
          <w:color w:val="000000" w:themeColor="text1"/>
        </w:rPr>
      </w:pPr>
      <w:r w:rsidRPr="002229B8">
        <w:rPr>
          <w:color w:val="000000" w:themeColor="text1"/>
        </w:rPr>
        <w:t>These constitute minimum mandatory data and security requirements without prejudice to relevant national laws and regulations. These requirements will be the object of technical evaluation, and meeting them shows adherence to the principles of the following laws:</w:t>
      </w:r>
    </w:p>
    <w:p w14:paraId="2A526918" w14:textId="49149BD5" w:rsidR="55113192" w:rsidRPr="002229B8" w:rsidRDefault="55113192" w:rsidP="00204123">
      <w:pPr>
        <w:spacing w:before="0" w:beforeAutospacing="0" w:after="240" w:afterAutospacing="0"/>
        <w:rPr>
          <w:color w:val="C45911" w:themeColor="accent2" w:themeShade="BF"/>
        </w:rPr>
      </w:pPr>
      <w:r w:rsidRPr="002229B8">
        <w:rPr>
          <w:i/>
          <w:iCs/>
          <w:color w:val="C45911" w:themeColor="accent2" w:themeShade="BF"/>
        </w:rPr>
        <w:t>[</w:t>
      </w:r>
      <w:r w:rsidRPr="002229B8">
        <w:rPr>
          <w:b/>
          <w:bCs/>
          <w:i/>
          <w:iCs/>
          <w:color w:val="C45911" w:themeColor="accent2" w:themeShade="BF"/>
        </w:rPr>
        <w:t xml:space="preserve">Please note: </w:t>
      </w:r>
      <w:r w:rsidRPr="002229B8">
        <w:rPr>
          <w:i/>
          <w:iCs/>
          <w:color w:val="C45911" w:themeColor="accent2" w:themeShade="BF"/>
        </w:rPr>
        <w:t xml:space="preserve">The CA, as controller of personal data, is encouraged to include any other requirements or measures </w:t>
      </w:r>
      <w:r w:rsidR="00580832">
        <w:rPr>
          <w:i/>
          <w:iCs/>
          <w:color w:val="C45911" w:themeColor="accent2" w:themeShade="BF"/>
        </w:rPr>
        <w:t>considered</w:t>
      </w:r>
      <w:r w:rsidRPr="002229B8">
        <w:rPr>
          <w:i/>
          <w:iCs/>
          <w:color w:val="C45911" w:themeColor="accent2" w:themeShade="BF"/>
        </w:rPr>
        <w:t xml:space="preserve"> necessary to ensure and to demonstrate that processing is performed in accordance with the GDPR]</w:t>
      </w:r>
      <w:r w:rsidRPr="002229B8">
        <w:rPr>
          <w:color w:val="C45911" w:themeColor="accent2" w:themeShade="BF"/>
        </w:rPr>
        <w:t xml:space="preserve"> </w:t>
      </w:r>
    </w:p>
    <w:p w14:paraId="11FF0F86" w14:textId="6BF4721C" w:rsidR="3CBD4B7E" w:rsidRDefault="3CBD4B7E" w:rsidP="003A4052">
      <w:pPr>
        <w:spacing w:before="240" w:beforeAutospacing="0" w:after="240" w:afterAutospacing="0"/>
        <w:rPr>
          <w:color w:val="000000" w:themeColor="text1"/>
        </w:rPr>
      </w:pPr>
      <w:r w:rsidRPr="318EB4DF">
        <w:rPr>
          <w:b/>
          <w:bCs/>
          <w:color w:val="000000" w:themeColor="text1"/>
        </w:rPr>
        <w:t>→ Regulation (EU) 2016/679</w:t>
      </w:r>
      <w:r w:rsidRPr="318EB4DF">
        <w:rPr>
          <w:color w:val="000000" w:themeColor="text1"/>
        </w:rPr>
        <w:t xml:space="preserve"> </w:t>
      </w:r>
      <w:r w:rsidRPr="318EB4DF">
        <w:rPr>
          <w:b/>
          <w:bCs/>
          <w:color w:val="000000" w:themeColor="text1"/>
        </w:rPr>
        <w:t>on the protection of natural persons with regard to the processing of personal data and on the free movement of such data (GDPR)</w:t>
      </w:r>
      <w:r w:rsidRPr="318EB4DF">
        <w:rPr>
          <w:color w:val="000000" w:themeColor="text1"/>
        </w:rPr>
        <w:t xml:space="preserve">: </w:t>
      </w:r>
    </w:p>
    <w:p w14:paraId="6961F89B" w14:textId="66C41231" w:rsidR="3CBD4B7E" w:rsidRDefault="3CBD4B7E" w:rsidP="003A4052">
      <w:pPr>
        <w:pStyle w:val="ListParagraph"/>
        <w:numPr>
          <w:ilvl w:val="0"/>
          <w:numId w:val="41"/>
        </w:numPr>
        <w:spacing w:before="240" w:beforeAutospacing="0" w:after="240" w:afterAutospacing="0"/>
        <w:rPr>
          <w:color w:val="000000" w:themeColor="text1"/>
        </w:rPr>
      </w:pPr>
      <w:r w:rsidRPr="318EB4DF">
        <w:rPr>
          <w:color w:val="000000" w:themeColor="text1"/>
        </w:rPr>
        <w:t xml:space="preserve">Processing of personal data by the [object of procurement] is compliant with the respective principles of (Article 5 of the GDPR): </w:t>
      </w:r>
    </w:p>
    <w:p w14:paraId="1108BBE3" w14:textId="7A5887B4" w:rsidR="3CBD4B7E" w:rsidRDefault="3CBD4B7E" w:rsidP="003A4052">
      <w:pPr>
        <w:pStyle w:val="ListParagraph"/>
        <w:numPr>
          <w:ilvl w:val="0"/>
          <w:numId w:val="40"/>
        </w:numPr>
        <w:spacing w:before="240" w:beforeAutospacing="0" w:after="240" w:afterAutospacing="0"/>
        <w:rPr>
          <w:color w:val="000000" w:themeColor="text1"/>
        </w:rPr>
      </w:pPr>
      <w:r w:rsidRPr="318EB4DF">
        <w:rPr>
          <w:color w:val="000000" w:themeColor="text1"/>
        </w:rPr>
        <w:lastRenderedPageBreak/>
        <w:t xml:space="preserve">Lawfulness, fairness and transparency: the [object of procurement] provider must provide clear and transparent information about how the [object of procurement] collects, processes, and uses data. </w:t>
      </w:r>
    </w:p>
    <w:p w14:paraId="4F0943C7" w14:textId="6A0CF9D9" w:rsidR="3CBD4B7E" w:rsidRDefault="3CBD4B7E" w:rsidP="003A4052">
      <w:pPr>
        <w:pStyle w:val="ListParagraph"/>
        <w:numPr>
          <w:ilvl w:val="0"/>
          <w:numId w:val="40"/>
        </w:numPr>
        <w:spacing w:before="240" w:beforeAutospacing="0" w:after="240" w:afterAutospacing="0"/>
        <w:rPr>
          <w:color w:val="000000" w:themeColor="text1"/>
        </w:rPr>
      </w:pPr>
      <w:r w:rsidRPr="318EB4DF">
        <w:rPr>
          <w:color w:val="000000" w:themeColor="text1"/>
        </w:rPr>
        <w:t xml:space="preserve">Purpose limitation, the collection of personal data by the [object of procurement] must be limited to the specific purpose(s) for which the [object of procurement] is intended to collect personal data. Technical measures need to be in place to enforce purpose limitation, such as data access controls, data tagging, and monitoring of data use.  </w:t>
      </w:r>
    </w:p>
    <w:p w14:paraId="259F7B50" w14:textId="680DAD55" w:rsidR="3CBD4B7E" w:rsidRDefault="3CBD4B7E" w:rsidP="003A4052">
      <w:pPr>
        <w:pStyle w:val="ListParagraph"/>
        <w:numPr>
          <w:ilvl w:val="0"/>
          <w:numId w:val="40"/>
        </w:numPr>
        <w:spacing w:before="240" w:beforeAutospacing="0" w:after="240" w:afterAutospacing="0"/>
        <w:rPr>
          <w:color w:val="000000" w:themeColor="text1"/>
        </w:rPr>
      </w:pPr>
      <w:r w:rsidRPr="318EB4DF">
        <w:rPr>
          <w:color w:val="000000" w:themeColor="text1"/>
        </w:rPr>
        <w:t xml:space="preserve">Data minimisation; no unnecessary features or functionalities that could result in the collection of excessive or irrelevant data, according to the specific purpose(s) of processing. Only necessary personal data collected and processed real-time. </w:t>
      </w:r>
    </w:p>
    <w:p w14:paraId="4A878FA3" w14:textId="45C1F811" w:rsidR="3CBD4B7E" w:rsidRDefault="3CBD4B7E" w:rsidP="003A4052">
      <w:pPr>
        <w:pStyle w:val="ListParagraph"/>
        <w:numPr>
          <w:ilvl w:val="0"/>
          <w:numId w:val="40"/>
        </w:numPr>
        <w:spacing w:before="240" w:beforeAutospacing="0" w:after="240" w:afterAutospacing="0"/>
        <w:rPr>
          <w:color w:val="000000" w:themeColor="text1"/>
        </w:rPr>
      </w:pPr>
      <w:r w:rsidRPr="318EB4DF">
        <w:rPr>
          <w:color w:val="000000" w:themeColor="text1"/>
        </w:rPr>
        <w:t xml:space="preserve">Accuracy; standard measures should be taken to ensure that inaccurate data is rectified or erased without delay.  </w:t>
      </w:r>
    </w:p>
    <w:p w14:paraId="67B014CA" w14:textId="120F3721" w:rsidR="3CBD4B7E" w:rsidRDefault="3CBD4B7E" w:rsidP="003A4052">
      <w:pPr>
        <w:pStyle w:val="ListParagraph"/>
        <w:numPr>
          <w:ilvl w:val="0"/>
          <w:numId w:val="40"/>
        </w:numPr>
        <w:spacing w:before="240" w:beforeAutospacing="0" w:after="240" w:afterAutospacing="0"/>
        <w:rPr>
          <w:color w:val="000000" w:themeColor="text1"/>
        </w:rPr>
      </w:pPr>
      <w:r w:rsidRPr="318EB4DF">
        <w:rPr>
          <w:color w:val="000000" w:themeColor="text1"/>
        </w:rPr>
        <w:t xml:space="preserve">Storage limitation: mechanisms must be provided to manage and control the storage of data collected by the [object of procurement]. This includes options for setting data retention periods and securely deleting or anonymising data when it is no longer needed. </w:t>
      </w:r>
    </w:p>
    <w:p w14:paraId="36454823" w14:textId="5D1096CD" w:rsidR="55113192" w:rsidRPr="002229B8" w:rsidRDefault="55113192" w:rsidP="003A4052">
      <w:pPr>
        <w:pStyle w:val="ListParagraph"/>
        <w:numPr>
          <w:ilvl w:val="0"/>
          <w:numId w:val="40"/>
        </w:numPr>
        <w:spacing w:before="240" w:beforeAutospacing="0" w:after="240" w:afterAutospacing="0"/>
        <w:rPr>
          <w:color w:val="000000" w:themeColor="text1"/>
        </w:rPr>
      </w:pPr>
      <w:r w:rsidRPr="002229B8">
        <w:rPr>
          <w:color w:val="000000" w:themeColor="text1"/>
        </w:rPr>
        <w:t xml:space="preserve">Integrity and confidentiality; technical measures to protect data from unlawful and/or unauthorised processing, accidental data loss or destruction, </w:t>
      </w:r>
    </w:p>
    <w:p w14:paraId="2835BAC8" w14:textId="25B91A36" w:rsidR="3CBD4B7E" w:rsidRDefault="3CBD4B7E" w:rsidP="003A4052">
      <w:pPr>
        <w:pStyle w:val="ListParagraph"/>
        <w:numPr>
          <w:ilvl w:val="0"/>
          <w:numId w:val="40"/>
        </w:numPr>
        <w:spacing w:before="240" w:beforeAutospacing="0" w:after="240" w:afterAutospacing="0"/>
        <w:rPr>
          <w:color w:val="000000" w:themeColor="text1"/>
        </w:rPr>
      </w:pPr>
      <w:r w:rsidRPr="318EB4DF">
        <w:rPr>
          <w:color w:val="000000" w:themeColor="text1"/>
        </w:rPr>
        <w:t xml:space="preserve">Accountability: the provider of the [object of procurement] should provide documentation and support to assist the public authority in demonstrating compliance with data protection regulations (e.g. any support in maintaining records of data processing activities, guidance on data protection impact assessments and assistance in responding to data subject requests or inquiries) </w:t>
      </w:r>
    </w:p>
    <w:p w14:paraId="76DDD136" w14:textId="60C6848E" w:rsidR="3CBD4B7E" w:rsidRDefault="3CBD4B7E" w:rsidP="003A4052">
      <w:pPr>
        <w:pStyle w:val="ListParagraph"/>
        <w:numPr>
          <w:ilvl w:val="0"/>
          <w:numId w:val="39"/>
        </w:numPr>
        <w:spacing w:before="240" w:beforeAutospacing="0" w:after="240" w:afterAutospacing="0"/>
        <w:rPr>
          <w:color w:val="000000" w:themeColor="text1"/>
        </w:rPr>
      </w:pPr>
      <w:r w:rsidRPr="318EB4DF">
        <w:rPr>
          <w:color w:val="000000" w:themeColor="text1"/>
        </w:rPr>
        <w:t xml:space="preserve">The [object of procurement] has implemented data protection by design and by default, using the following measures, among others (Article 25 of the GDPR):  </w:t>
      </w:r>
    </w:p>
    <w:p w14:paraId="6FA73483" w14:textId="14023AE2" w:rsidR="3CBD4B7E" w:rsidRDefault="3CBD4B7E" w:rsidP="003A4052">
      <w:pPr>
        <w:pStyle w:val="ListParagraph"/>
        <w:numPr>
          <w:ilvl w:val="0"/>
          <w:numId w:val="38"/>
        </w:numPr>
        <w:spacing w:before="240" w:beforeAutospacing="0" w:after="240" w:afterAutospacing="0"/>
        <w:rPr>
          <w:color w:val="000000" w:themeColor="text1"/>
        </w:rPr>
      </w:pPr>
      <w:r w:rsidRPr="318EB4DF">
        <w:rPr>
          <w:color w:val="000000" w:themeColor="text1"/>
        </w:rPr>
        <w:t xml:space="preserve">The [object of procurement] should capture and store only the data required for it to fulfil the purpose of its current purchase. If the [object of procurement] captures and/or stores data that are not required for the specific purpose/functionality of this tender, it should have the capability to deactivate their collection and storage.  </w:t>
      </w:r>
    </w:p>
    <w:p w14:paraId="576A8F5D" w14:textId="012D3595" w:rsidR="55113192" w:rsidRPr="002229B8" w:rsidRDefault="55113192" w:rsidP="003A4052">
      <w:pPr>
        <w:pStyle w:val="ListParagraph"/>
        <w:numPr>
          <w:ilvl w:val="0"/>
          <w:numId w:val="38"/>
        </w:numPr>
        <w:spacing w:before="240" w:beforeAutospacing="0" w:after="240" w:afterAutospacing="0"/>
        <w:rPr>
          <w:color w:val="000000" w:themeColor="text1"/>
        </w:rPr>
      </w:pPr>
      <w:r w:rsidRPr="002229B8">
        <w:rPr>
          <w:color w:val="000000" w:themeColor="text1"/>
        </w:rPr>
        <w:t>Enablement of automated pseudonymisation and/or anonymisation of personal data as soon as possible</w:t>
      </w:r>
      <w:r w:rsidR="3CBD4B7E" w:rsidRPr="318EB4DF">
        <w:rPr>
          <w:color w:val="000000" w:themeColor="text1"/>
        </w:rPr>
        <w:t>.</w:t>
      </w:r>
      <w:r w:rsidRPr="002229B8">
        <w:rPr>
          <w:color w:val="000000" w:themeColor="text1"/>
        </w:rPr>
        <w:t xml:space="preserve"> </w:t>
      </w:r>
    </w:p>
    <w:p w14:paraId="2D6ECBF8" w14:textId="616F216B" w:rsidR="55113192" w:rsidRPr="002229B8" w:rsidRDefault="55113192" w:rsidP="003A4052">
      <w:pPr>
        <w:pStyle w:val="ListParagraph"/>
        <w:numPr>
          <w:ilvl w:val="0"/>
          <w:numId w:val="38"/>
        </w:numPr>
        <w:spacing w:before="240" w:beforeAutospacing="0" w:after="240" w:afterAutospacing="0"/>
        <w:rPr>
          <w:color w:val="000000" w:themeColor="text1"/>
        </w:rPr>
      </w:pPr>
      <w:r w:rsidRPr="002229B8">
        <w:rPr>
          <w:color w:val="000000" w:themeColor="text1"/>
        </w:rPr>
        <w:t>Encryption of personal data at rest and in</w:t>
      </w:r>
      <w:r w:rsidR="3CBD4B7E" w:rsidRPr="318EB4DF">
        <w:rPr>
          <w:color w:val="000000" w:themeColor="text1"/>
        </w:rPr>
        <w:t>-</w:t>
      </w:r>
      <w:r w:rsidRPr="002229B8">
        <w:rPr>
          <w:color w:val="000000" w:themeColor="text1"/>
        </w:rPr>
        <w:t xml:space="preserve">transit. </w:t>
      </w:r>
    </w:p>
    <w:p w14:paraId="7D2A8025" w14:textId="23F5D430" w:rsidR="3CBD4B7E" w:rsidRDefault="3CBD4B7E" w:rsidP="003A4052">
      <w:pPr>
        <w:pStyle w:val="ListParagraph"/>
        <w:numPr>
          <w:ilvl w:val="0"/>
          <w:numId w:val="38"/>
        </w:numPr>
        <w:spacing w:before="240" w:beforeAutospacing="0" w:after="240" w:afterAutospacing="0"/>
        <w:rPr>
          <w:color w:val="000000" w:themeColor="text1"/>
        </w:rPr>
      </w:pPr>
      <w:r w:rsidRPr="318EB4DF">
        <w:rPr>
          <w:color w:val="000000" w:themeColor="text1"/>
        </w:rPr>
        <w:t>The use of privacy enhancing technologies like data obfuscation tools, encrypted data processing tools, federated and distributed analytics, or data accountability tools.</w:t>
      </w:r>
    </w:p>
    <w:p w14:paraId="56D1E372" w14:textId="2143EB79" w:rsidR="3CBD4B7E" w:rsidRDefault="3CBD4B7E" w:rsidP="003A4052">
      <w:pPr>
        <w:pStyle w:val="ListParagraph"/>
        <w:numPr>
          <w:ilvl w:val="0"/>
          <w:numId w:val="38"/>
        </w:numPr>
        <w:spacing w:before="240" w:beforeAutospacing="0" w:after="240" w:afterAutospacing="0"/>
        <w:rPr>
          <w:color w:val="000000" w:themeColor="text1"/>
        </w:rPr>
      </w:pPr>
      <w:r w:rsidRPr="318EB4DF">
        <w:rPr>
          <w:color w:val="000000" w:themeColor="text1"/>
        </w:rPr>
        <w:lastRenderedPageBreak/>
        <w:t xml:space="preserve">Transparency regarding the functions, processing and flows of personal data, enabling the CA to fulfil their transparency obligations as controllers of personal data towards data subjects. </w:t>
      </w:r>
    </w:p>
    <w:p w14:paraId="4B0851C8" w14:textId="6F5D5BE9" w:rsidR="3CBD4B7E" w:rsidRDefault="3CBD4B7E" w:rsidP="003A4052">
      <w:pPr>
        <w:pStyle w:val="ListParagraph"/>
        <w:numPr>
          <w:ilvl w:val="0"/>
          <w:numId w:val="37"/>
        </w:numPr>
        <w:spacing w:before="0" w:beforeAutospacing="0" w:after="0" w:afterAutospacing="0"/>
        <w:rPr>
          <w:color w:val="000000" w:themeColor="text1"/>
        </w:rPr>
      </w:pPr>
      <w:r w:rsidRPr="318EB4DF">
        <w:rPr>
          <w:color w:val="000000" w:themeColor="text1"/>
        </w:rPr>
        <w:t>Data protection impact assessment:</w:t>
      </w:r>
    </w:p>
    <w:p w14:paraId="7959C719" w14:textId="2D07F691" w:rsidR="3CBD4B7E" w:rsidRDefault="3CBD4B7E" w:rsidP="003A4052">
      <w:pPr>
        <w:pStyle w:val="ListParagraph"/>
        <w:numPr>
          <w:ilvl w:val="0"/>
          <w:numId w:val="36"/>
        </w:numPr>
        <w:spacing w:before="0" w:beforeAutospacing="0" w:after="0" w:afterAutospacing="0"/>
        <w:rPr>
          <w:color w:val="000000" w:themeColor="text1"/>
        </w:rPr>
      </w:pPr>
      <w:r w:rsidRPr="318EB4DF">
        <w:rPr>
          <w:color w:val="000000" w:themeColor="text1"/>
        </w:rPr>
        <w:t>The [object of procurement] has been subject to data protection impact assessment(s) and risk assessment(s) in line with Article 35 of the GDPR.</w:t>
      </w:r>
    </w:p>
    <w:p w14:paraId="5EABF5FA" w14:textId="304F38C8" w:rsidR="3CBD4B7E" w:rsidRDefault="3CBD4B7E" w:rsidP="003A4052">
      <w:pPr>
        <w:pStyle w:val="ListParagraph"/>
        <w:numPr>
          <w:ilvl w:val="0"/>
          <w:numId w:val="36"/>
        </w:numPr>
        <w:spacing w:before="0" w:beforeAutospacing="0" w:after="0" w:afterAutospacing="0"/>
        <w:rPr>
          <w:color w:val="000000" w:themeColor="text1"/>
        </w:rPr>
      </w:pPr>
      <w:r w:rsidRPr="318EB4DF">
        <w:rPr>
          <w:color w:val="000000" w:themeColor="text1"/>
        </w:rPr>
        <w:t>For the purposes of this Tender, the winner of this Tender will support the CA in conducting a Data Protection Impact Assessment whenever needed throughout the life of the contract.  This and other obligations will be reflected in the corresponding Data Processing Agreement between the CA and the contractor.</w:t>
      </w:r>
    </w:p>
    <w:p w14:paraId="5C8D3F0B" w14:textId="4B695F1F" w:rsidR="318EB4DF" w:rsidRDefault="318EB4DF" w:rsidP="003A4052">
      <w:pPr>
        <w:pStyle w:val="ListParagraph"/>
        <w:spacing w:before="0" w:beforeAutospacing="0" w:after="0" w:afterAutospacing="0"/>
        <w:ind w:left="1080"/>
        <w:rPr>
          <w:color w:val="000000" w:themeColor="text1"/>
        </w:rPr>
      </w:pPr>
    </w:p>
    <w:p w14:paraId="4E3F68AB" w14:textId="0542EFFE" w:rsidR="3CBD4B7E" w:rsidRDefault="3CBD4B7E" w:rsidP="003A4052">
      <w:pPr>
        <w:pStyle w:val="ListParagraph"/>
        <w:numPr>
          <w:ilvl w:val="0"/>
          <w:numId w:val="35"/>
        </w:numPr>
        <w:spacing w:before="0" w:beforeAutospacing="0" w:after="0" w:afterAutospacing="0"/>
        <w:rPr>
          <w:color w:val="000000" w:themeColor="text1"/>
        </w:rPr>
      </w:pPr>
      <w:r w:rsidRPr="318EB4DF">
        <w:rPr>
          <w:color w:val="000000" w:themeColor="text1"/>
        </w:rPr>
        <w:t xml:space="preserve">Security measures, among others (Article 32 of the GDPR): </w:t>
      </w:r>
    </w:p>
    <w:p w14:paraId="7DC04BF4" w14:textId="4B69703A" w:rsidR="3CBD4B7E" w:rsidRDefault="3CBD4B7E" w:rsidP="003A4052">
      <w:pPr>
        <w:pStyle w:val="ListParagraph"/>
        <w:numPr>
          <w:ilvl w:val="0"/>
          <w:numId w:val="34"/>
        </w:numPr>
        <w:spacing w:before="0" w:beforeAutospacing="0" w:after="0" w:afterAutospacing="0"/>
        <w:rPr>
          <w:color w:val="000000" w:themeColor="text1"/>
        </w:rPr>
      </w:pPr>
      <w:r w:rsidRPr="318EB4DF">
        <w:rPr>
          <w:color w:val="000000" w:themeColor="text1"/>
        </w:rPr>
        <w:t>Pseudonymisation and encryption of personal data.</w:t>
      </w:r>
    </w:p>
    <w:p w14:paraId="61D7D1D1" w14:textId="7E1D8B45" w:rsidR="55113192" w:rsidRPr="002229B8" w:rsidRDefault="55113192" w:rsidP="003A4052">
      <w:pPr>
        <w:pStyle w:val="ListParagraph"/>
        <w:numPr>
          <w:ilvl w:val="0"/>
          <w:numId w:val="34"/>
        </w:numPr>
        <w:spacing w:before="0" w:beforeAutospacing="0" w:after="0" w:afterAutospacing="0"/>
        <w:rPr>
          <w:color w:val="000000" w:themeColor="text1"/>
        </w:rPr>
      </w:pPr>
      <w:r w:rsidRPr="002229B8">
        <w:rPr>
          <w:color w:val="000000" w:themeColor="text1"/>
        </w:rPr>
        <w:t>Ability to restore the availability and access to personal data in a timely manner in the event of a physical or technical incident</w:t>
      </w:r>
      <w:r w:rsidR="3CBD4B7E" w:rsidRPr="318EB4DF">
        <w:rPr>
          <w:color w:val="000000" w:themeColor="text1"/>
        </w:rPr>
        <w:t>;</w:t>
      </w:r>
      <w:r w:rsidRPr="002229B8">
        <w:rPr>
          <w:color w:val="000000" w:themeColor="text1"/>
        </w:rPr>
        <w:t xml:space="preserve"> </w:t>
      </w:r>
    </w:p>
    <w:p w14:paraId="73CDEB07" w14:textId="3FF07680" w:rsidR="55113192" w:rsidRPr="002229B8" w:rsidRDefault="55113192" w:rsidP="003A4052">
      <w:pPr>
        <w:pStyle w:val="ListParagraph"/>
        <w:numPr>
          <w:ilvl w:val="0"/>
          <w:numId w:val="34"/>
        </w:numPr>
        <w:spacing w:before="0" w:beforeAutospacing="0" w:after="0" w:afterAutospacing="0"/>
        <w:rPr>
          <w:color w:val="000000" w:themeColor="text1"/>
        </w:rPr>
      </w:pPr>
      <w:r w:rsidRPr="002229B8">
        <w:rPr>
          <w:color w:val="000000" w:themeColor="text1"/>
        </w:rPr>
        <w:t xml:space="preserve">Process for regularly testing, assessing and evaluating the effectiveness of technical and organisational measures </w:t>
      </w:r>
      <w:r w:rsidR="3CBD4B7E" w:rsidRPr="318EB4DF">
        <w:rPr>
          <w:color w:val="000000" w:themeColor="text1"/>
        </w:rPr>
        <w:t>for ensuring</w:t>
      </w:r>
      <w:r w:rsidRPr="002229B8">
        <w:rPr>
          <w:color w:val="000000" w:themeColor="text1"/>
        </w:rPr>
        <w:t xml:space="preserve"> the security of the processing of personal data. </w:t>
      </w:r>
    </w:p>
    <w:p w14:paraId="41C5C932" w14:textId="6A9780E3" w:rsidR="3CBD4B7E" w:rsidRDefault="3CBD4B7E" w:rsidP="003A4052">
      <w:pPr>
        <w:pStyle w:val="ListParagraph"/>
        <w:numPr>
          <w:ilvl w:val="0"/>
          <w:numId w:val="34"/>
        </w:numPr>
        <w:spacing w:before="0" w:beforeAutospacing="0" w:after="0" w:afterAutospacing="0"/>
        <w:rPr>
          <w:color w:val="000000" w:themeColor="text1"/>
        </w:rPr>
      </w:pPr>
      <w:r w:rsidRPr="318EB4DF">
        <w:rPr>
          <w:color w:val="000000" w:themeColor="text1"/>
        </w:rPr>
        <w:t xml:space="preserve">The ability to ensure ongoing confidentiality, integrity, availability and resilience of processing systems and services through: Security monitoring and logging mechanisms to detect and respond to security incidents in real-time (incident management procedure). This includes logging access attempts, security events, and anomalous behaviour for analysis and investigation. </w:t>
      </w:r>
    </w:p>
    <w:p w14:paraId="344B77C2" w14:textId="72E9A01B" w:rsidR="3CBD4B7E" w:rsidRDefault="3CBD4B7E" w:rsidP="003A4052">
      <w:pPr>
        <w:pStyle w:val="ListParagraph"/>
        <w:numPr>
          <w:ilvl w:val="0"/>
          <w:numId w:val="34"/>
        </w:numPr>
        <w:spacing w:before="0" w:beforeAutospacing="0" w:after="0" w:afterAutospacing="0"/>
        <w:rPr>
          <w:color w:val="000000" w:themeColor="text1"/>
        </w:rPr>
      </w:pPr>
      <w:r w:rsidRPr="318EB4DF">
        <w:rPr>
          <w:color w:val="000000" w:themeColor="text1"/>
        </w:rPr>
        <w:t xml:space="preserve">Authentication mechanism enabled - only authorised users or devices can access the [object of procurement] and its data. </w:t>
      </w:r>
    </w:p>
    <w:p w14:paraId="68E7EABF" w14:textId="5D65CC25" w:rsidR="3CBD4B7E" w:rsidRDefault="3CBD4B7E" w:rsidP="003A4052">
      <w:pPr>
        <w:pStyle w:val="ListParagraph"/>
        <w:numPr>
          <w:ilvl w:val="0"/>
          <w:numId w:val="34"/>
        </w:numPr>
        <w:spacing w:before="0" w:beforeAutospacing="0" w:after="0" w:afterAutospacing="0"/>
        <w:rPr>
          <w:color w:val="000000" w:themeColor="text1"/>
        </w:rPr>
      </w:pPr>
      <w:r w:rsidRPr="318EB4DF">
        <w:rPr>
          <w:color w:val="000000" w:themeColor="text1"/>
        </w:rPr>
        <w:t xml:space="preserve">Use of secure network and communication protocols (indicatively, but not limited to: TLS/SSL, TCP/IP) to ensure confidentiality, integrity, and authenticity of data exchanged between the [object of procurement] and other systems. </w:t>
      </w:r>
    </w:p>
    <w:p w14:paraId="35EFB661" w14:textId="5183FF03" w:rsidR="3CBD4B7E" w:rsidRDefault="3CBD4B7E" w:rsidP="003A4052">
      <w:pPr>
        <w:pStyle w:val="ListParagraph"/>
        <w:numPr>
          <w:ilvl w:val="0"/>
          <w:numId w:val="34"/>
        </w:numPr>
        <w:spacing w:before="0" w:beforeAutospacing="0" w:after="0" w:afterAutospacing="0"/>
        <w:rPr>
          <w:color w:val="000000" w:themeColor="text1"/>
        </w:rPr>
      </w:pPr>
      <w:r w:rsidRPr="318EB4DF">
        <w:rPr>
          <w:color w:val="000000" w:themeColor="text1"/>
        </w:rPr>
        <w:t xml:space="preserve">Design that facilitates physical security: remote modification of the [object of procurement] settings, limited parameter adjustment/settings of the [object of procurement] on the physical device itself. </w:t>
      </w:r>
    </w:p>
    <w:p w14:paraId="5CA720E1" w14:textId="18964952" w:rsidR="3CBD4B7E" w:rsidRDefault="3CBD4B7E" w:rsidP="003A4052">
      <w:pPr>
        <w:pStyle w:val="ListParagraph"/>
        <w:numPr>
          <w:ilvl w:val="0"/>
          <w:numId w:val="34"/>
        </w:numPr>
        <w:spacing w:before="0" w:beforeAutospacing="0" w:after="0" w:afterAutospacing="0"/>
        <w:rPr>
          <w:color w:val="000000" w:themeColor="text1"/>
        </w:rPr>
      </w:pPr>
      <w:r w:rsidRPr="318EB4DF">
        <w:rPr>
          <w:color w:val="000000" w:themeColor="text1"/>
        </w:rPr>
        <w:t xml:space="preserve">Secure boot mechanisms that ensure that only trusted firmware and software can run on the [object of procurement] and secure over-the-air (OTA) firmware updates to patch security vulnerabilities and ensure the device's software remains up-to-date. </w:t>
      </w:r>
    </w:p>
    <w:p w14:paraId="1C1A3790" w14:textId="7F02E89A" w:rsidR="3CBD4B7E" w:rsidRDefault="3CBD4B7E" w:rsidP="003A4052">
      <w:pPr>
        <w:pStyle w:val="ListParagraph"/>
        <w:numPr>
          <w:ilvl w:val="0"/>
          <w:numId w:val="34"/>
        </w:numPr>
        <w:spacing w:before="0" w:beforeAutospacing="0" w:after="0" w:afterAutospacing="0"/>
        <w:rPr>
          <w:color w:val="000000" w:themeColor="text1"/>
        </w:rPr>
      </w:pPr>
      <w:r w:rsidRPr="318EB4DF">
        <w:rPr>
          <w:color w:val="000000" w:themeColor="text1"/>
        </w:rPr>
        <w:t>Data should be preferably stored within the EEA, and only under exceptional circumstances should personal data be transferred outside the EEA in accordance with Chapter V of the GDPR.</w:t>
      </w:r>
    </w:p>
    <w:p w14:paraId="4CBF75AB" w14:textId="6D860B19" w:rsidR="318EB4DF" w:rsidRDefault="318EB4DF" w:rsidP="318EB4DF">
      <w:pPr>
        <w:spacing w:before="0" w:beforeAutospacing="0" w:after="240" w:afterAutospacing="0"/>
        <w:rPr>
          <w:color w:val="C45911" w:themeColor="accent2" w:themeShade="BF"/>
        </w:rPr>
      </w:pPr>
    </w:p>
    <w:p w14:paraId="4701A5C6" w14:textId="177734BD" w:rsidR="34120ED6" w:rsidRPr="002229B8" w:rsidRDefault="00515342" w:rsidP="00515342">
      <w:pPr>
        <w:rPr>
          <w:color w:val="000000" w:themeColor="text1"/>
        </w:rPr>
      </w:pPr>
      <w:r w:rsidRPr="002229B8">
        <w:rPr>
          <w:rFonts w:ascii="Wingdings" w:eastAsia="Wingdings" w:hAnsi="Wingdings" w:cs="Wingdings"/>
          <w:b/>
          <w:color w:val="000000" w:themeColor="text1"/>
        </w:rPr>
        <w:sym w:font="Wingdings" w:char="F0E0"/>
      </w:r>
      <w:r w:rsidRPr="002229B8">
        <w:rPr>
          <w:b/>
          <w:bCs/>
          <w:color w:val="000000" w:themeColor="text1"/>
        </w:rPr>
        <w:t xml:space="preserve"> </w:t>
      </w:r>
      <w:r w:rsidR="34120ED6" w:rsidRPr="002229B8">
        <w:rPr>
          <w:b/>
          <w:bCs/>
          <w:color w:val="000000" w:themeColor="text1"/>
        </w:rPr>
        <w:t>Directive (EU) 2022/2555 on measures for a high common level of cybersecurity across the Union (NIS 2).</w:t>
      </w:r>
      <w:r w:rsidR="34120ED6" w:rsidRPr="002229B8">
        <w:rPr>
          <w:color w:val="000000" w:themeColor="text1"/>
        </w:rPr>
        <w:t xml:space="preserve"> Direct applicability on the IT suppliers of public administrations at a local level is dependent on the Directive’s implementation in each Member State’s national law. </w:t>
      </w:r>
    </w:p>
    <w:p w14:paraId="77C54F1C" w14:textId="7419DF2B" w:rsidR="34120ED6" w:rsidRPr="002229B8" w:rsidRDefault="34120ED6" w:rsidP="00204123">
      <w:pPr>
        <w:spacing w:before="240" w:beforeAutospacing="0" w:after="240" w:afterAutospacing="0"/>
        <w:rPr>
          <w:color w:val="000000" w:themeColor="text1"/>
        </w:rPr>
      </w:pPr>
      <w:r w:rsidRPr="002229B8">
        <w:rPr>
          <w:color w:val="000000" w:themeColor="text1"/>
        </w:rPr>
        <w:lastRenderedPageBreak/>
        <w:t>Cybersecurity risk-management measures are based on an all-hazards approach that aims to protect network and information systems</w:t>
      </w:r>
      <w:r w:rsidR="009F4C29">
        <w:rPr>
          <w:color w:val="000000" w:themeColor="text1"/>
        </w:rPr>
        <w:t>,</w:t>
      </w:r>
      <w:r w:rsidRPr="002229B8">
        <w:rPr>
          <w:color w:val="000000" w:themeColor="text1"/>
        </w:rPr>
        <w:t xml:space="preserve"> and the physical environment of those systems</w:t>
      </w:r>
      <w:r w:rsidR="009F4C29">
        <w:rPr>
          <w:color w:val="000000" w:themeColor="text1"/>
        </w:rPr>
        <w:t>,</w:t>
      </w:r>
      <w:r w:rsidRPr="002229B8">
        <w:rPr>
          <w:color w:val="000000" w:themeColor="text1"/>
        </w:rPr>
        <w:t xml:space="preserve"> from incidents and include at least the following</w:t>
      </w:r>
      <w:r w:rsidR="52AF43BF" w:rsidRPr="318EB4DF">
        <w:rPr>
          <w:color w:val="000000" w:themeColor="text1"/>
        </w:rPr>
        <w:t xml:space="preserve"> (Article 21 of NIS 2)</w:t>
      </w:r>
      <w:r w:rsidRPr="318EB4DF">
        <w:rPr>
          <w:color w:val="000000" w:themeColor="text1"/>
        </w:rPr>
        <w:t>:</w:t>
      </w:r>
    </w:p>
    <w:p w14:paraId="707C28F5" w14:textId="04E42356" w:rsidR="34120ED6" w:rsidRPr="002229B8" w:rsidRDefault="34120ED6" w:rsidP="00B17E1F">
      <w:pPr>
        <w:pStyle w:val="ListParagraph"/>
        <w:numPr>
          <w:ilvl w:val="0"/>
          <w:numId w:val="24"/>
        </w:numPr>
        <w:spacing w:before="240" w:beforeAutospacing="0" w:after="240" w:afterAutospacing="0"/>
        <w:rPr>
          <w:color w:val="000000" w:themeColor="text1"/>
        </w:rPr>
      </w:pPr>
      <w:r w:rsidRPr="002229B8">
        <w:rPr>
          <w:color w:val="000000" w:themeColor="text1"/>
        </w:rPr>
        <w:t xml:space="preserve">Policies and measures on risk analysis and on network </w:t>
      </w:r>
      <w:r w:rsidR="00EF2D58" w:rsidRPr="002229B8">
        <w:rPr>
          <w:color w:val="000000" w:themeColor="text1"/>
        </w:rPr>
        <w:t>and information</w:t>
      </w:r>
      <w:r w:rsidRPr="002229B8">
        <w:rPr>
          <w:color w:val="000000" w:themeColor="text1"/>
        </w:rPr>
        <w:t xml:space="preserve"> system security; </w:t>
      </w:r>
    </w:p>
    <w:p w14:paraId="0149473A" w14:textId="1B82E3E4" w:rsidR="34120ED6" w:rsidRPr="002229B8" w:rsidRDefault="34120ED6" w:rsidP="00B17E1F">
      <w:pPr>
        <w:pStyle w:val="ListParagraph"/>
        <w:numPr>
          <w:ilvl w:val="0"/>
          <w:numId w:val="24"/>
        </w:numPr>
        <w:spacing w:before="240" w:beforeAutospacing="0" w:after="240" w:afterAutospacing="0"/>
        <w:rPr>
          <w:color w:val="000000" w:themeColor="text1"/>
        </w:rPr>
      </w:pPr>
      <w:r w:rsidRPr="002229B8">
        <w:rPr>
          <w:color w:val="000000" w:themeColor="text1"/>
        </w:rPr>
        <w:t>Incident handling processes, including prevention, detection, response to incidents and notification to relevant national authorities. Established processes and tools should be used to handle incidents affecting the availability, authenticity, integrity, or confidentiality of stored or transmitted data.</w:t>
      </w:r>
    </w:p>
    <w:p w14:paraId="7C588B4D" w14:textId="480EFB58" w:rsidR="34120ED6" w:rsidRPr="002229B8" w:rsidRDefault="34120ED6" w:rsidP="00B17E1F">
      <w:pPr>
        <w:pStyle w:val="ListParagraph"/>
        <w:numPr>
          <w:ilvl w:val="0"/>
          <w:numId w:val="23"/>
        </w:numPr>
        <w:spacing w:before="240" w:beforeAutospacing="0" w:after="240" w:afterAutospacing="0"/>
        <w:rPr>
          <w:color w:val="000000" w:themeColor="text1"/>
        </w:rPr>
      </w:pPr>
      <w:r w:rsidRPr="002229B8">
        <w:rPr>
          <w:color w:val="000000" w:themeColor="text1"/>
        </w:rPr>
        <w:t xml:space="preserve">Business continuity, such as backup management and disaster recovery, and crisis management; </w:t>
      </w:r>
    </w:p>
    <w:p w14:paraId="370C50AE" w14:textId="10785DEF" w:rsidR="34120ED6" w:rsidRPr="002229B8" w:rsidRDefault="34120ED6" w:rsidP="00B17E1F">
      <w:pPr>
        <w:pStyle w:val="ListParagraph"/>
        <w:numPr>
          <w:ilvl w:val="0"/>
          <w:numId w:val="23"/>
        </w:numPr>
        <w:spacing w:before="240" w:beforeAutospacing="0" w:after="240" w:afterAutospacing="0"/>
        <w:rPr>
          <w:color w:val="000000" w:themeColor="text1"/>
        </w:rPr>
      </w:pPr>
      <w:r w:rsidRPr="002229B8">
        <w:rPr>
          <w:color w:val="000000" w:themeColor="text1"/>
        </w:rPr>
        <w:t xml:space="preserve">Supply chain security, including security-related aspects concerning the relationships between each entity and its direct suppliers or service providers; </w:t>
      </w:r>
    </w:p>
    <w:p w14:paraId="344A25D0" w14:textId="4390E746" w:rsidR="34120ED6" w:rsidRPr="002229B8" w:rsidRDefault="34120ED6" w:rsidP="00B17E1F">
      <w:pPr>
        <w:pStyle w:val="ListParagraph"/>
        <w:numPr>
          <w:ilvl w:val="0"/>
          <w:numId w:val="23"/>
        </w:numPr>
        <w:spacing w:before="240" w:beforeAutospacing="0" w:after="240" w:afterAutospacing="0"/>
        <w:rPr>
          <w:color w:val="000000" w:themeColor="text1"/>
        </w:rPr>
      </w:pPr>
      <w:r w:rsidRPr="002229B8">
        <w:rPr>
          <w:color w:val="000000" w:themeColor="text1"/>
        </w:rPr>
        <w:t xml:space="preserve">Security in network and information systems acquisition, development and maintenance, including vulnerability handling and disclosure; </w:t>
      </w:r>
    </w:p>
    <w:p w14:paraId="7EF72363" w14:textId="25FD0B95" w:rsidR="34120ED6" w:rsidRPr="002229B8" w:rsidRDefault="34120ED6" w:rsidP="00B17E1F">
      <w:pPr>
        <w:pStyle w:val="ListParagraph"/>
        <w:numPr>
          <w:ilvl w:val="0"/>
          <w:numId w:val="23"/>
        </w:numPr>
        <w:spacing w:before="240" w:beforeAutospacing="0" w:after="240" w:afterAutospacing="0"/>
        <w:rPr>
          <w:color w:val="000000" w:themeColor="text1"/>
        </w:rPr>
      </w:pPr>
      <w:r w:rsidRPr="002229B8">
        <w:rPr>
          <w:color w:val="000000" w:themeColor="text1"/>
        </w:rPr>
        <w:t xml:space="preserve">Policies and procedures to assess the effectiveness of cybersecurity risk-management measures; </w:t>
      </w:r>
    </w:p>
    <w:p w14:paraId="21D2F161" w14:textId="5737EBA3" w:rsidR="34120ED6" w:rsidRPr="002229B8" w:rsidRDefault="34120ED6" w:rsidP="00B17E1F">
      <w:pPr>
        <w:pStyle w:val="ListParagraph"/>
        <w:numPr>
          <w:ilvl w:val="0"/>
          <w:numId w:val="23"/>
        </w:numPr>
        <w:spacing w:before="240" w:beforeAutospacing="0" w:after="240" w:afterAutospacing="0"/>
        <w:rPr>
          <w:color w:val="000000" w:themeColor="text1"/>
        </w:rPr>
      </w:pPr>
      <w:r w:rsidRPr="002229B8">
        <w:rPr>
          <w:color w:val="000000" w:themeColor="text1"/>
        </w:rPr>
        <w:t>Policies and procedures regarding the use of cryptography and, where appropriate, encryption.</w:t>
      </w:r>
    </w:p>
    <w:p w14:paraId="5B775838" w14:textId="2BEF08DD" w:rsidR="02939AB0" w:rsidRPr="002229B8" w:rsidRDefault="02939AB0" w:rsidP="00204123">
      <w:pPr>
        <w:spacing w:before="240" w:beforeAutospacing="0" w:after="240" w:afterAutospacing="0"/>
        <w:rPr>
          <w:i/>
          <w:iCs/>
          <w:color w:val="C45911" w:themeColor="accent2" w:themeShade="BF"/>
        </w:rPr>
      </w:pPr>
      <w:r w:rsidRPr="002229B8">
        <w:rPr>
          <w:color w:val="C45911" w:themeColor="accent2" w:themeShade="BF"/>
        </w:rPr>
        <w:t>[</w:t>
      </w:r>
      <w:r w:rsidRPr="002229B8">
        <w:rPr>
          <w:b/>
          <w:bCs/>
          <w:i/>
          <w:iCs/>
          <w:color w:val="C45911" w:themeColor="accent2" w:themeShade="BF"/>
        </w:rPr>
        <w:t xml:space="preserve">Please note: </w:t>
      </w:r>
      <w:r w:rsidRPr="002229B8">
        <w:rPr>
          <w:i/>
          <w:iCs/>
          <w:color w:val="C45911" w:themeColor="accent2" w:themeShade="BF"/>
        </w:rPr>
        <w:t xml:space="preserve">Each Member State shall adopt a strategy for enhancing the resilience of critical entities by 17 January 2026. Member States will have to identify the critical entities for the sectors set out in </w:t>
      </w:r>
      <w:r w:rsidRPr="002229B8">
        <w:rPr>
          <w:i/>
          <w:color w:val="C45911" w:themeColor="accent2" w:themeShade="BF"/>
        </w:rPr>
        <w:t>Directive (EU) 2022/2557</w:t>
      </w:r>
      <w:r w:rsidRPr="002229B8">
        <w:rPr>
          <w:i/>
          <w:iCs/>
          <w:color w:val="C45911" w:themeColor="accent2" w:themeShade="BF"/>
        </w:rPr>
        <w:t xml:space="preserve"> by 17 July 2026. For more information on this Directive, please refer to the Guidelines on “EU legal frameworks and compliance”, Chapter “The EU legal framework on digital products and services”.</w:t>
      </w:r>
    </w:p>
    <w:p w14:paraId="445E66F8" w14:textId="50419750" w:rsidR="02939AB0" w:rsidRPr="002229B8" w:rsidRDefault="02939AB0" w:rsidP="00204123">
      <w:pPr>
        <w:spacing w:before="220" w:beforeAutospacing="0" w:after="220" w:afterAutospacing="0"/>
        <w:rPr>
          <w:color w:val="C45911" w:themeColor="accent2" w:themeShade="BF"/>
        </w:rPr>
      </w:pPr>
      <w:r w:rsidRPr="002229B8">
        <w:rPr>
          <w:i/>
          <w:iCs/>
          <w:color w:val="C45911" w:themeColor="accent2" w:themeShade="BF"/>
        </w:rPr>
        <w:t>If the implementation and launch of the call for tenders precedes this date, it is at the discretion of the CA to determine whether to include these requirements</w:t>
      </w:r>
      <w:r w:rsidRPr="002229B8">
        <w:rPr>
          <w:color w:val="C45911" w:themeColor="accent2" w:themeShade="BF"/>
        </w:rPr>
        <w:t xml:space="preserve">:] </w:t>
      </w:r>
    </w:p>
    <w:p w14:paraId="7A735318" w14:textId="22E47857" w:rsidR="02939AB0" w:rsidRPr="002229B8" w:rsidRDefault="02939AB0" w:rsidP="00BA02AE">
      <w:pPr>
        <w:spacing w:before="240" w:beforeAutospacing="0" w:after="240" w:afterAutospacing="0"/>
        <w:rPr>
          <w:b/>
          <w:bCs/>
          <w:color w:val="000000" w:themeColor="text1"/>
        </w:rPr>
      </w:pPr>
      <w:r w:rsidRPr="002229B8">
        <w:rPr>
          <w:color w:val="000000" w:themeColor="text1"/>
        </w:rPr>
        <w:t>→</w:t>
      </w:r>
      <w:r w:rsidRPr="002229B8">
        <w:rPr>
          <w:b/>
          <w:bCs/>
          <w:color w:val="000000" w:themeColor="text1"/>
        </w:rPr>
        <w:t xml:space="preserve"> Directive (EU) 2022/2557 on the resilience of critical entities and repealing Council Directive 2008/114/EC (CER Directive)</w:t>
      </w:r>
    </w:p>
    <w:p w14:paraId="31C973C2" w14:textId="3FF3BFDF" w:rsidR="02939AB0" w:rsidRPr="002229B8" w:rsidRDefault="02939AB0" w:rsidP="00BA02AE">
      <w:pPr>
        <w:spacing w:before="240" w:beforeAutospacing="0" w:after="240" w:afterAutospacing="0"/>
        <w:rPr>
          <w:i/>
          <w:iCs/>
          <w:color w:val="B45F06"/>
        </w:rPr>
      </w:pPr>
      <w:r w:rsidRPr="002229B8">
        <w:rPr>
          <w:i/>
          <w:iCs/>
          <w:color w:val="B45F06"/>
        </w:rPr>
        <w:t xml:space="preserve">[While the CER Directive primarily targets physical infrastructure, a software development service could still be considered in scope under the Directive under the following circumstances: if the software development service/middleware is essential to the functioning, monitoring, or control of critical services (e.g. indicatively in the energy, health, transportation, or digital infrastructure sectors among others outlined in the Directive), it could be regarded as critical infrastructure as it could be considered part of the broader infrastructure ecosystem. The resilience of the physical system may rely on the proper functioning, resilience and cybersecurity of the cloud service. </w:t>
      </w:r>
    </w:p>
    <w:p w14:paraId="0E5ACB98" w14:textId="4FA1E059" w:rsidR="02939AB0" w:rsidRPr="002229B8" w:rsidRDefault="02939AB0" w:rsidP="00204123">
      <w:pPr>
        <w:spacing w:before="0" w:beforeAutospacing="0" w:after="0" w:afterAutospacing="0"/>
        <w:rPr>
          <w:i/>
          <w:iCs/>
          <w:color w:val="B45F06"/>
        </w:rPr>
      </w:pPr>
      <w:r w:rsidRPr="002229B8">
        <w:rPr>
          <w:i/>
          <w:iCs/>
          <w:color w:val="B45F06"/>
        </w:rPr>
        <w:lastRenderedPageBreak/>
        <w:t xml:space="preserve">In this case, while the </w:t>
      </w:r>
      <w:r w:rsidR="29164C99" w:rsidRPr="002229B8">
        <w:rPr>
          <w:i/>
          <w:iCs/>
          <w:color w:val="B45F06"/>
        </w:rPr>
        <w:t>middleware</w:t>
      </w:r>
      <w:r w:rsidRPr="002229B8">
        <w:rPr>
          <w:i/>
          <w:iCs/>
          <w:color w:val="B45F06"/>
        </w:rPr>
        <w:t xml:space="preserve"> software itself is not physical infrastructure, it may be indirectly included in the scope of the Directive due to its essential role in ensuring the resilience and operation of critical services.]</w:t>
      </w:r>
    </w:p>
    <w:p w14:paraId="39F6AC6B" w14:textId="6CF2F081" w:rsidR="02939AB0" w:rsidRPr="002229B8" w:rsidRDefault="02939AB0" w:rsidP="00204123">
      <w:pPr>
        <w:spacing w:before="240" w:beforeAutospacing="0" w:after="240" w:afterAutospacing="0"/>
        <w:rPr>
          <w:color w:val="000000" w:themeColor="text1"/>
        </w:rPr>
      </w:pPr>
      <w:r w:rsidRPr="002229B8">
        <w:rPr>
          <w:color w:val="000000" w:themeColor="text1"/>
        </w:rPr>
        <w:t>The Directive covers physical security, operational security, and resilience measures to protect critical entities from both physical and cyber threats. Some measures that critical entities will have to uptake to become more resilient are listed in Article 13 of the Directive:</w:t>
      </w:r>
    </w:p>
    <w:p w14:paraId="45E7B164" w14:textId="025904DF" w:rsidR="02939AB0" w:rsidRPr="002229B8" w:rsidRDefault="02939AB0" w:rsidP="00B17E1F">
      <w:pPr>
        <w:pStyle w:val="ListParagraph"/>
        <w:numPr>
          <w:ilvl w:val="0"/>
          <w:numId w:val="22"/>
        </w:numPr>
        <w:spacing w:before="240" w:beforeAutospacing="0" w:after="240" w:afterAutospacing="0"/>
        <w:rPr>
          <w:color w:val="000000" w:themeColor="text1"/>
        </w:rPr>
      </w:pPr>
      <w:r w:rsidRPr="002229B8">
        <w:rPr>
          <w:color w:val="000000" w:themeColor="text1"/>
        </w:rPr>
        <w:t>prevent incidents from occurring, duly considering disaster risk reduction and climate adaptation measures;</w:t>
      </w:r>
    </w:p>
    <w:p w14:paraId="01C542D2" w14:textId="358D40D1" w:rsidR="02939AB0" w:rsidRPr="002229B8" w:rsidRDefault="02939AB0" w:rsidP="00B17E1F">
      <w:pPr>
        <w:pStyle w:val="ListParagraph"/>
        <w:numPr>
          <w:ilvl w:val="0"/>
          <w:numId w:val="22"/>
        </w:numPr>
        <w:spacing w:before="240" w:beforeAutospacing="0" w:after="240" w:afterAutospacing="0"/>
        <w:rPr>
          <w:color w:val="000000" w:themeColor="text1"/>
        </w:rPr>
      </w:pPr>
      <w:r w:rsidRPr="002229B8">
        <w:rPr>
          <w:color w:val="000000" w:themeColor="text1"/>
        </w:rPr>
        <w:t>ensure adequate physical protection of their premises and critical infrastructure, duly considering, for example, fencing, barriers, perimeter monitoring tools and routines, detection equipment and access controls;</w:t>
      </w:r>
    </w:p>
    <w:p w14:paraId="3C69CBE0" w14:textId="7C34BD3B" w:rsidR="02939AB0" w:rsidRPr="002229B8" w:rsidRDefault="02939AB0" w:rsidP="00B17E1F">
      <w:pPr>
        <w:pStyle w:val="ListParagraph"/>
        <w:numPr>
          <w:ilvl w:val="0"/>
          <w:numId w:val="22"/>
        </w:numPr>
        <w:spacing w:before="240" w:beforeAutospacing="0" w:after="240" w:afterAutospacing="0"/>
        <w:rPr>
          <w:color w:val="000000" w:themeColor="text1"/>
        </w:rPr>
      </w:pPr>
      <w:r w:rsidRPr="002229B8">
        <w:rPr>
          <w:color w:val="000000" w:themeColor="text1"/>
        </w:rPr>
        <w:t>respond to, resist and mitigate the consequences of incidents, duly considering the implementation of risk and crisis management procedures and protocols and alert routines;</w:t>
      </w:r>
    </w:p>
    <w:p w14:paraId="72E55D25" w14:textId="3D6F1A43" w:rsidR="02939AB0" w:rsidRPr="002229B8" w:rsidRDefault="02939AB0" w:rsidP="00B17E1F">
      <w:pPr>
        <w:pStyle w:val="ListParagraph"/>
        <w:numPr>
          <w:ilvl w:val="0"/>
          <w:numId w:val="22"/>
        </w:numPr>
        <w:spacing w:before="240" w:beforeAutospacing="0" w:after="240" w:afterAutospacing="0"/>
        <w:rPr>
          <w:color w:val="000000" w:themeColor="text1"/>
        </w:rPr>
      </w:pPr>
      <w:r w:rsidRPr="002229B8">
        <w:rPr>
          <w:color w:val="000000" w:themeColor="text1"/>
        </w:rPr>
        <w:t>recover from incidents, duly considering business continuity measures and the identification of alternative supply chains in order to resume the provision of the essential service;</w:t>
      </w:r>
    </w:p>
    <w:p w14:paraId="1E1A0B36" w14:textId="1A88B95D" w:rsidR="02939AB0" w:rsidRPr="002229B8" w:rsidRDefault="02939AB0" w:rsidP="00B17E1F">
      <w:pPr>
        <w:pStyle w:val="ListParagraph"/>
        <w:numPr>
          <w:ilvl w:val="0"/>
          <w:numId w:val="22"/>
        </w:numPr>
        <w:spacing w:before="240" w:beforeAutospacing="0" w:after="240" w:afterAutospacing="0"/>
        <w:rPr>
          <w:color w:val="000000" w:themeColor="text1"/>
        </w:rPr>
      </w:pPr>
      <w:r w:rsidRPr="002229B8">
        <w:rPr>
          <w:color w:val="000000" w:themeColor="text1"/>
        </w:rPr>
        <w:t>ensure adequate employee security management, duly considering measures such as setting out categories of personnel who exercise critical functions, establishing access rights to premises, critical infrastructure and sensitive information, setting up procedures for background checks in accordance with Article 14 and designating the categories of persons who are required to undergo such background checks, and laying down appropriate training requirements and qualifications.</w:t>
      </w:r>
    </w:p>
    <w:p w14:paraId="0792650C" w14:textId="585EDA25" w:rsidR="02939AB0" w:rsidRPr="002229B8" w:rsidRDefault="02939AB0" w:rsidP="00B17E1F">
      <w:pPr>
        <w:pStyle w:val="ListParagraph"/>
        <w:numPr>
          <w:ilvl w:val="0"/>
          <w:numId w:val="22"/>
        </w:numPr>
        <w:spacing w:before="240" w:beforeAutospacing="0" w:after="240" w:afterAutospacing="0"/>
        <w:rPr>
          <w:color w:val="000000" w:themeColor="text1"/>
        </w:rPr>
      </w:pPr>
      <w:r w:rsidRPr="002229B8">
        <w:rPr>
          <w:color w:val="000000" w:themeColor="text1"/>
        </w:rPr>
        <w:t>raise awareness about the measures referred to in points (a) to (e) among relevant personnel, duly considering training courses, information materials and exercises.</w:t>
      </w:r>
    </w:p>
    <w:p w14:paraId="6E3EE52F" w14:textId="06CC9EC1" w:rsidR="64BC0178" w:rsidRPr="002229B8" w:rsidRDefault="64BC0178" w:rsidP="64BC0178">
      <w:pPr>
        <w:spacing w:before="120" w:beforeAutospacing="0" w:after="120" w:afterAutospacing="0"/>
        <w:rPr>
          <w:b/>
          <w:bCs/>
          <w:color w:val="000000" w:themeColor="text1"/>
          <w:highlight w:val="yellow"/>
        </w:rPr>
      </w:pPr>
    </w:p>
    <w:p w14:paraId="4F85CE97" w14:textId="2257263E" w:rsidR="39CDE2F6" w:rsidRPr="002229B8" w:rsidRDefault="00564FFE" w:rsidP="00204123">
      <w:pPr>
        <w:spacing w:before="240" w:beforeAutospacing="0" w:after="240" w:afterAutospacing="0"/>
        <w:rPr>
          <w:i/>
          <w:iCs/>
          <w:color w:val="C45911" w:themeColor="accent2" w:themeShade="BF"/>
        </w:rPr>
      </w:pPr>
      <w:r w:rsidRPr="002229B8">
        <w:rPr>
          <w:rFonts w:ascii="Wingdings" w:eastAsia="Wingdings" w:hAnsi="Wingdings" w:cs="Wingdings"/>
          <w:b/>
          <w:color w:val="000000" w:themeColor="text1"/>
        </w:rPr>
        <w:sym w:font="Wingdings" w:char="F0E0"/>
      </w:r>
      <w:r w:rsidRPr="002229B8">
        <w:rPr>
          <w:b/>
          <w:bCs/>
          <w:color w:val="000000" w:themeColor="text1"/>
        </w:rPr>
        <w:t xml:space="preserve"> </w:t>
      </w:r>
      <w:r w:rsidR="39CDE2F6" w:rsidRPr="002229B8">
        <w:rPr>
          <w:b/>
          <w:bCs/>
          <w:color w:val="000000" w:themeColor="text1"/>
        </w:rPr>
        <w:t>Directive (EU) 2019/1024 on open data and the re-use of public sector information (Open Data Directive).</w:t>
      </w:r>
    </w:p>
    <w:p w14:paraId="0455C88E" w14:textId="5BB875F4" w:rsidR="39CDE2F6" w:rsidRPr="002229B8" w:rsidRDefault="39CDE2F6" w:rsidP="00204123">
      <w:pPr>
        <w:spacing w:before="240" w:beforeAutospacing="0" w:after="240" w:afterAutospacing="0"/>
        <w:rPr>
          <w:i/>
          <w:color w:val="C45911" w:themeColor="accent2" w:themeShade="BF"/>
        </w:rPr>
      </w:pPr>
      <w:r w:rsidRPr="002229B8">
        <w:rPr>
          <w:i/>
          <w:color w:val="C45911" w:themeColor="accent2" w:themeShade="BF"/>
        </w:rPr>
        <w:t xml:space="preserve">[*Applicable where the information that the object of procurement will process </w:t>
      </w:r>
      <w:r w:rsidR="00132FA9">
        <w:rPr>
          <w:i/>
          <w:color w:val="C45911" w:themeColor="accent2" w:themeShade="BF"/>
        </w:rPr>
        <w:t xml:space="preserve">is open (non-confidential, non-personal, commercial or </w:t>
      </w:r>
      <w:r w:rsidR="03B745E0" w:rsidRPr="318EB4DF">
        <w:rPr>
          <w:i/>
          <w:iCs/>
          <w:color w:val="C45911" w:themeColor="accent2" w:themeShade="BF"/>
        </w:rPr>
        <w:t>binded</w:t>
      </w:r>
      <w:r w:rsidRPr="002229B8">
        <w:rPr>
          <w:i/>
          <w:color w:val="C45911" w:themeColor="accent2" w:themeShade="BF"/>
        </w:rPr>
        <w:t xml:space="preserve"> by other confidentiality restrictions) public-sector information such as geographical, land registry, statistical or legal information held by public-sector bodies or public undertakings, and of publicly funded research data.</w:t>
      </w:r>
      <w:r w:rsidRPr="002229B8">
        <w:rPr>
          <w:color w:val="000000" w:themeColor="text1"/>
        </w:rPr>
        <w:t xml:space="preserve"> </w:t>
      </w:r>
      <w:r w:rsidRPr="002229B8">
        <w:rPr>
          <w:i/>
          <w:color w:val="C45911" w:themeColor="accent2" w:themeShade="BF"/>
        </w:rPr>
        <w:t>]</w:t>
      </w:r>
    </w:p>
    <w:p w14:paraId="7E282D4C" w14:textId="74329C0A" w:rsidR="39CDE2F6" w:rsidRPr="002229B8" w:rsidRDefault="39CDE2F6" w:rsidP="00204123">
      <w:pPr>
        <w:spacing w:before="0" w:beforeAutospacing="0" w:after="240" w:afterAutospacing="0"/>
        <w:rPr>
          <w:color w:val="000000" w:themeColor="text1"/>
        </w:rPr>
      </w:pPr>
      <w:r w:rsidRPr="002229B8">
        <w:rPr>
          <w:color w:val="000000" w:themeColor="text1"/>
        </w:rPr>
        <w:t xml:space="preserve">The Directive is based on the general principle that public and publicly funded data should be reusable for commercial or non-commercial purposes. </w:t>
      </w:r>
      <w:r w:rsidRPr="318EB4DF">
        <w:rPr>
          <w:color w:val="000000" w:themeColor="text1"/>
        </w:rPr>
        <w:t xml:space="preserve">Requirements </w:t>
      </w:r>
      <w:r w:rsidR="0450F78B" w:rsidRPr="318EB4DF">
        <w:rPr>
          <w:color w:val="000000" w:themeColor="text1"/>
        </w:rPr>
        <w:t>according to Article 5 of the Directive</w:t>
      </w:r>
      <w:r w:rsidRPr="318EB4DF">
        <w:rPr>
          <w:color w:val="000000" w:themeColor="text1"/>
        </w:rPr>
        <w:t>:</w:t>
      </w:r>
    </w:p>
    <w:p w14:paraId="490539FE" w14:textId="7151F40D" w:rsidR="39CDE2F6" w:rsidRPr="002229B8" w:rsidRDefault="39CDE2F6" w:rsidP="00B17E1F">
      <w:pPr>
        <w:pStyle w:val="ListParagraph"/>
        <w:numPr>
          <w:ilvl w:val="0"/>
          <w:numId w:val="21"/>
        </w:numPr>
        <w:spacing w:before="240" w:beforeAutospacing="0" w:after="240" w:afterAutospacing="0"/>
        <w:rPr>
          <w:color w:val="000000" w:themeColor="text1"/>
        </w:rPr>
      </w:pPr>
      <w:r w:rsidRPr="002229B8">
        <w:rPr>
          <w:color w:val="000000" w:themeColor="text1"/>
        </w:rPr>
        <w:lastRenderedPageBreak/>
        <w:t>Data should be provided in Union or internationally recognised open, machine-readable formats to facilitate easy reuse. This includes using open standards and avoiding proprietary formats that could limit accessibility.</w:t>
      </w:r>
    </w:p>
    <w:p w14:paraId="719CEE1C" w14:textId="62116F84" w:rsidR="39CDE2F6" w:rsidRPr="002229B8" w:rsidRDefault="39CDE2F6" w:rsidP="00B17E1F">
      <w:pPr>
        <w:pStyle w:val="ListParagraph"/>
        <w:numPr>
          <w:ilvl w:val="0"/>
          <w:numId w:val="21"/>
        </w:numPr>
        <w:spacing w:before="240" w:beforeAutospacing="0" w:after="240" w:afterAutospacing="0"/>
        <w:rPr>
          <w:color w:val="000000" w:themeColor="text1"/>
        </w:rPr>
      </w:pPr>
      <w:r w:rsidRPr="002229B8">
        <w:rPr>
          <w:color w:val="000000" w:themeColor="text1"/>
        </w:rPr>
        <w:t>Datasets should be accompanied by comprehensive metadata to enhance discoverability and usability. This metadata should detail the dataset's origin, structure, and any modifications.</w:t>
      </w:r>
    </w:p>
    <w:p w14:paraId="0D9353D5" w14:textId="1B884AF5" w:rsidR="39CDE2F6" w:rsidRPr="002229B8" w:rsidRDefault="39CDE2F6" w:rsidP="00B17E1F">
      <w:pPr>
        <w:pStyle w:val="ListParagraph"/>
        <w:numPr>
          <w:ilvl w:val="0"/>
          <w:numId w:val="21"/>
        </w:numPr>
        <w:spacing w:before="220" w:beforeAutospacing="0" w:after="220" w:afterAutospacing="0"/>
        <w:rPr>
          <w:color w:val="000000" w:themeColor="text1"/>
        </w:rPr>
      </w:pPr>
      <w:r w:rsidRPr="002229B8">
        <w:rPr>
          <w:color w:val="000000" w:themeColor="text1"/>
        </w:rPr>
        <w:t>Data should be made available via an application programming interface (API). If it is dynamic data immediately after collection, or in the case of a manual update immediately after the modification of the dataset.</w:t>
      </w:r>
    </w:p>
    <w:p w14:paraId="5708571C" w14:textId="2F343956" w:rsidR="39CDE2F6" w:rsidRPr="002229B8" w:rsidRDefault="39CDE2F6" w:rsidP="00204123">
      <w:pPr>
        <w:spacing w:before="220" w:beforeAutospacing="0" w:after="220" w:afterAutospacing="0"/>
        <w:rPr>
          <w:color w:val="C45911" w:themeColor="accent2" w:themeShade="BF"/>
        </w:rPr>
      </w:pPr>
    </w:p>
    <w:p w14:paraId="4B5C8DF8" w14:textId="080D6FBB" w:rsidR="318EB4DF" w:rsidRDefault="318EB4DF" w:rsidP="318EB4DF">
      <w:pPr>
        <w:spacing w:before="220" w:beforeAutospacing="0" w:after="220" w:afterAutospacing="0"/>
        <w:rPr>
          <w:color w:val="C45911" w:themeColor="accent2" w:themeShade="BF"/>
        </w:rPr>
      </w:pPr>
    </w:p>
    <w:p w14:paraId="5BAF7744" w14:textId="6D6F9EAA" w:rsidR="6F0B097C" w:rsidRDefault="6F0B097C" w:rsidP="003A4052">
      <w:pPr>
        <w:spacing w:before="220" w:beforeAutospacing="0" w:after="220" w:afterAutospacing="0"/>
        <w:rPr>
          <w:i/>
          <w:iCs/>
          <w:color w:val="C45911" w:themeColor="accent2" w:themeShade="BF"/>
        </w:rPr>
      </w:pPr>
      <w:r w:rsidRPr="318EB4DF">
        <w:rPr>
          <w:b/>
          <w:bCs/>
          <w:i/>
          <w:iCs/>
          <w:color w:val="C45911" w:themeColor="accent2" w:themeShade="BF"/>
        </w:rPr>
        <w:t xml:space="preserve">[Please note: </w:t>
      </w:r>
      <w:r w:rsidRPr="318EB4DF">
        <w:rPr>
          <w:i/>
          <w:iCs/>
          <w:color w:val="C45911" w:themeColor="accent2" w:themeShade="BF"/>
        </w:rPr>
        <w:t>Regulation (EU) 2023/2854 will become mandatory from its application date, which is 12 September 2025, with a progressive applicability of some of its articles.</w:t>
      </w:r>
    </w:p>
    <w:p w14:paraId="438A7DFA" w14:textId="7725D1EF" w:rsidR="3BB2B8D5" w:rsidRPr="002229B8" w:rsidRDefault="6F0B097C" w:rsidP="00204123">
      <w:pPr>
        <w:spacing w:before="240" w:beforeAutospacing="0" w:after="240" w:afterAutospacing="0"/>
        <w:rPr>
          <w:color w:val="000000" w:themeColor="text1"/>
        </w:rPr>
      </w:pPr>
      <w:r w:rsidRPr="318EB4DF">
        <w:rPr>
          <w:i/>
          <w:iCs/>
          <w:color w:val="C45911" w:themeColor="accent2" w:themeShade="BF"/>
        </w:rPr>
        <w:t>If the implementation and launch of the call for tenders precedes this date, it is at the discretion of the CA to determine whether to include these requirements</w:t>
      </w:r>
      <w:r w:rsidRPr="318EB4DF">
        <w:rPr>
          <w:color w:val="C45911" w:themeColor="accent2" w:themeShade="BF"/>
        </w:rPr>
        <w:t>:]</w:t>
      </w:r>
      <w:r w:rsidR="00AB698B" w:rsidRPr="318EB4DF">
        <w:rPr>
          <w:rFonts w:ascii="Wingdings" w:eastAsia="Wingdings" w:hAnsi="Wingdings" w:cs="Wingdings"/>
          <w:b/>
          <w:bCs/>
          <w:color w:val="000000" w:themeColor="text1"/>
        </w:rPr>
        <w:t>à</w:t>
      </w:r>
      <w:r w:rsidR="3BB2B8D5" w:rsidRPr="002229B8">
        <w:rPr>
          <w:b/>
          <w:bCs/>
          <w:color w:val="000000" w:themeColor="text1"/>
        </w:rPr>
        <w:t xml:space="preserve"> Regulation (EU) 2023/2854</w:t>
      </w:r>
      <w:r w:rsidR="3BB2B8D5" w:rsidRPr="002229B8">
        <w:rPr>
          <w:color w:val="000000" w:themeColor="text1"/>
        </w:rPr>
        <w:t xml:space="preserve"> </w:t>
      </w:r>
      <w:r w:rsidR="3BB2B8D5" w:rsidRPr="318EB4DF">
        <w:rPr>
          <w:b/>
          <w:color w:val="000000" w:themeColor="text1"/>
        </w:rPr>
        <w:t>on harmonised rules on fair access to and use of data</w:t>
      </w:r>
      <w:r w:rsidR="3BB2B8D5" w:rsidRPr="002229B8">
        <w:rPr>
          <w:color w:val="000000" w:themeColor="text1"/>
        </w:rPr>
        <w:t xml:space="preserve"> </w:t>
      </w:r>
      <w:r w:rsidR="3BB2B8D5" w:rsidRPr="002229B8">
        <w:rPr>
          <w:b/>
          <w:bCs/>
          <w:color w:val="000000" w:themeColor="text1"/>
        </w:rPr>
        <w:t>(Data Act</w:t>
      </w:r>
      <w:r w:rsidR="3BB2B8D5" w:rsidRPr="318EB4DF">
        <w:rPr>
          <w:b/>
          <w:bCs/>
          <w:color w:val="000000" w:themeColor="text1"/>
        </w:rPr>
        <w:t>)</w:t>
      </w:r>
      <w:r w:rsidR="52E4BAD3" w:rsidRPr="318EB4DF">
        <w:rPr>
          <w:b/>
          <w:bCs/>
          <w:color w:val="000000" w:themeColor="text1"/>
        </w:rPr>
        <w:t>.</w:t>
      </w:r>
      <w:r w:rsidR="3BB2B8D5" w:rsidRPr="318EB4DF">
        <w:rPr>
          <w:color w:val="000000" w:themeColor="text1"/>
        </w:rPr>
        <w:t xml:space="preserve"> </w:t>
      </w:r>
      <w:r w:rsidR="2DA4FB9C" w:rsidRPr="318EB4DF">
        <w:rPr>
          <w:color w:val="000000" w:themeColor="text1"/>
        </w:rPr>
        <w:t>This Act contains</w:t>
      </w:r>
      <w:r w:rsidR="3BB2B8D5" w:rsidRPr="002229B8">
        <w:rPr>
          <w:color w:val="000000" w:themeColor="text1"/>
        </w:rPr>
        <w:t xml:space="preserve"> rules and conditions under which manufacturers, designers or data holders of data generated by smart products and related software are obliged to give fair access and control over industrial data to the users connected to them (individuals or organisations): </w:t>
      </w:r>
    </w:p>
    <w:p w14:paraId="4ED1D7F3" w14:textId="25E2B0F9" w:rsidR="3BB2B8D5" w:rsidRPr="002229B8" w:rsidRDefault="3BB2B8D5" w:rsidP="00B17E1F">
      <w:pPr>
        <w:pStyle w:val="ListParagraph"/>
        <w:numPr>
          <w:ilvl w:val="0"/>
          <w:numId w:val="20"/>
        </w:numPr>
        <w:spacing w:before="240" w:beforeAutospacing="0" w:after="240" w:afterAutospacing="0"/>
        <w:rPr>
          <w:color w:val="000000" w:themeColor="text1"/>
        </w:rPr>
      </w:pPr>
      <w:r w:rsidRPr="002229B8">
        <w:rPr>
          <w:color w:val="000000" w:themeColor="text1"/>
        </w:rPr>
        <w:t>Obligation to make product data and related service data (including the relevant metadata necessary to interpret and use those data) by design accessible to the user; specifically: by default, easily, securely, free of charge, in a comprehensive, structured, commonly used and machine-readable format, and, where relevant and technically feasible, directly accessible to the user</w:t>
      </w:r>
      <w:r w:rsidR="552D7A72" w:rsidRPr="318EB4DF">
        <w:rPr>
          <w:color w:val="000000" w:themeColor="text1"/>
        </w:rPr>
        <w:t>, as per Article 3 of the Data Act.</w:t>
      </w:r>
      <w:r w:rsidRPr="318EB4DF">
        <w:rPr>
          <w:color w:val="000000" w:themeColor="text1"/>
        </w:rPr>
        <w:t>.</w:t>
      </w:r>
      <w:r w:rsidRPr="002229B8">
        <w:rPr>
          <w:color w:val="000000" w:themeColor="text1"/>
        </w:rPr>
        <w:t xml:space="preserve"> </w:t>
      </w:r>
    </w:p>
    <w:p w14:paraId="08847C59" w14:textId="3E0BE192" w:rsidR="3BB2B8D5" w:rsidRPr="002229B8" w:rsidRDefault="3BB2B8D5" w:rsidP="00B17E1F">
      <w:pPr>
        <w:pStyle w:val="ListParagraph"/>
        <w:numPr>
          <w:ilvl w:val="0"/>
          <w:numId w:val="20"/>
        </w:numPr>
        <w:spacing w:before="240" w:beforeAutospacing="0" w:after="240" w:afterAutospacing="0"/>
        <w:rPr>
          <w:color w:val="000000" w:themeColor="text1"/>
        </w:rPr>
      </w:pPr>
      <w:r w:rsidRPr="002229B8">
        <w:rPr>
          <w:color w:val="000000" w:themeColor="text1"/>
        </w:rPr>
        <w:t xml:space="preserve">Obligation to provide certain information before concluding a contract for the purchase, rent or lease of a connected product as described in Article 3, paragraphs 2 and 3 of the Data Act.  </w:t>
      </w:r>
    </w:p>
    <w:p w14:paraId="3FC634B1" w14:textId="5F801529" w:rsidR="3BB2B8D5" w:rsidRPr="002229B8" w:rsidRDefault="3BB2B8D5" w:rsidP="00B17E1F">
      <w:pPr>
        <w:pStyle w:val="ListParagraph"/>
        <w:numPr>
          <w:ilvl w:val="0"/>
          <w:numId w:val="19"/>
        </w:numPr>
        <w:spacing w:before="240" w:beforeAutospacing="0" w:after="240" w:afterAutospacing="0"/>
        <w:rPr>
          <w:color w:val="000000" w:themeColor="text1"/>
        </w:rPr>
      </w:pPr>
      <w:r w:rsidRPr="002229B8">
        <w:rPr>
          <w:color w:val="000000" w:themeColor="text1"/>
        </w:rPr>
        <w:t xml:space="preserve">Rights and restrictions of users and data holders regarding access, use and making available product and related service data to the user and third party of their choice, as described in Articles 4 and 5 of the Data Act. </w:t>
      </w:r>
    </w:p>
    <w:p w14:paraId="3D3D0147" w14:textId="1DEB510A" w:rsidR="3BB2B8D5" w:rsidRPr="002229B8" w:rsidRDefault="3BB2B8D5" w:rsidP="00B17E1F">
      <w:pPr>
        <w:pStyle w:val="ListParagraph"/>
        <w:numPr>
          <w:ilvl w:val="0"/>
          <w:numId w:val="19"/>
        </w:numPr>
        <w:spacing w:before="240" w:beforeAutospacing="0" w:after="240" w:afterAutospacing="0"/>
        <w:rPr>
          <w:color w:val="000000" w:themeColor="text1"/>
        </w:rPr>
      </w:pPr>
      <w:r w:rsidRPr="002229B8">
        <w:rPr>
          <w:color w:val="000000" w:themeColor="text1"/>
        </w:rPr>
        <w:t xml:space="preserve">If the data processed by the middleware software are saved in a cloud service provided by the provider of the software, they are required to remove commercial, technical, contractual and organisational obstacles that hinder the CA from switching between the same service types among different service providers (e.g. easy contract termination, direct data portability to a new service provider, gradual cost elimination for switching between providers, , compatibility with open standards) </w:t>
      </w:r>
    </w:p>
    <w:p w14:paraId="052AAC2E" w14:textId="2AF2DE26" w:rsidR="3BB2B8D5" w:rsidRPr="002229B8" w:rsidRDefault="3BB2B8D5" w:rsidP="00B17E1F">
      <w:pPr>
        <w:pStyle w:val="ListParagraph"/>
        <w:numPr>
          <w:ilvl w:val="0"/>
          <w:numId w:val="19"/>
        </w:numPr>
        <w:spacing w:before="240" w:beforeAutospacing="0" w:after="240" w:afterAutospacing="0"/>
        <w:rPr>
          <w:color w:val="000000" w:themeColor="text1"/>
        </w:rPr>
      </w:pPr>
      <w:r w:rsidRPr="002229B8">
        <w:rPr>
          <w:color w:val="000000" w:themeColor="text1"/>
        </w:rPr>
        <w:lastRenderedPageBreak/>
        <w:t>Participants in data spaces shall comply with essential requirements regarding data interoperability, data sharing mechanisms and services, and common European data spaces according to Articles 33 to 36 of the Data Act.</w:t>
      </w:r>
    </w:p>
    <w:p w14:paraId="7A37C7F5" w14:textId="12BC576B" w:rsidR="3B990D90" w:rsidRPr="002229B8" w:rsidRDefault="3B990D90" w:rsidP="00204123">
      <w:pPr>
        <w:spacing w:before="240" w:beforeAutospacing="0" w:after="240" w:afterAutospacing="0"/>
        <w:rPr>
          <w:color w:val="000000" w:themeColor="text1"/>
        </w:rPr>
      </w:pPr>
      <w:r w:rsidRPr="002229B8">
        <w:rPr>
          <w:color w:val="000000" w:themeColor="text1"/>
        </w:rPr>
        <w:t xml:space="preserve">Compliance with the above requirements may be demonstrated and achieved by acquiring, </w:t>
      </w:r>
      <w:r w:rsidRPr="002229B8">
        <w:rPr>
          <w:i/>
          <w:iCs/>
          <w:color w:val="000000" w:themeColor="text1"/>
        </w:rPr>
        <w:t>inter alia</w:t>
      </w:r>
      <w:r w:rsidRPr="002229B8">
        <w:rPr>
          <w:color w:val="000000" w:themeColor="text1"/>
        </w:rPr>
        <w:t xml:space="preserve">, the following standards/certifications:  </w:t>
      </w:r>
    </w:p>
    <w:p w14:paraId="0616A5D7" w14:textId="522E2F7E" w:rsidR="42FCE15D" w:rsidRDefault="42FCE15D" w:rsidP="318EB4DF">
      <w:pPr>
        <w:pStyle w:val="ListParagraph"/>
        <w:numPr>
          <w:ilvl w:val="0"/>
          <w:numId w:val="33"/>
        </w:numPr>
        <w:spacing w:before="240" w:beforeAutospacing="0" w:after="240" w:afterAutospacing="0"/>
        <w:rPr>
          <w:color w:val="000000" w:themeColor="text1"/>
        </w:rPr>
      </w:pPr>
      <w:r w:rsidRPr="318EB4DF">
        <w:rPr>
          <w:color w:val="000000" w:themeColor="text1"/>
        </w:rPr>
        <w:t>ISO/IEC 27001 on information security management systems</w:t>
      </w:r>
    </w:p>
    <w:p w14:paraId="58808A05" w14:textId="72BED903" w:rsidR="42FCE15D" w:rsidRDefault="42FCE15D" w:rsidP="003A4052">
      <w:pPr>
        <w:pStyle w:val="ListParagraph"/>
        <w:numPr>
          <w:ilvl w:val="0"/>
          <w:numId w:val="33"/>
        </w:numPr>
        <w:spacing w:before="240" w:beforeAutospacing="0" w:after="240" w:afterAutospacing="0"/>
        <w:rPr>
          <w:color w:val="000000" w:themeColor="text1"/>
        </w:rPr>
      </w:pPr>
      <w:r w:rsidRPr="318EB4DF">
        <w:rPr>
          <w:color w:val="000000" w:themeColor="text1"/>
        </w:rPr>
        <w:t>ISO/IEC 27701 on privacy management</w:t>
      </w:r>
    </w:p>
    <w:p w14:paraId="170B07CE" w14:textId="6314DC06" w:rsidR="42FCE15D" w:rsidRDefault="42FCE15D" w:rsidP="003A4052">
      <w:pPr>
        <w:pStyle w:val="ListParagraph"/>
        <w:numPr>
          <w:ilvl w:val="0"/>
          <w:numId w:val="33"/>
        </w:numPr>
        <w:spacing w:before="240" w:beforeAutospacing="0" w:after="240" w:afterAutospacing="0"/>
        <w:rPr>
          <w:color w:val="000000" w:themeColor="text1"/>
        </w:rPr>
      </w:pPr>
      <w:r w:rsidRPr="318EB4DF">
        <w:rPr>
          <w:color w:val="000000" w:themeColor="text1"/>
        </w:rPr>
        <w:t>ISO/IEC 22301 for business continuity</w:t>
      </w:r>
    </w:p>
    <w:p w14:paraId="6600F96C" w14:textId="78B6D0F4" w:rsidR="42FCE15D" w:rsidRDefault="42FCE15D" w:rsidP="003A4052">
      <w:pPr>
        <w:pStyle w:val="ListParagraph"/>
        <w:numPr>
          <w:ilvl w:val="0"/>
          <w:numId w:val="33"/>
        </w:numPr>
        <w:spacing w:before="260" w:beforeAutospacing="0" w:after="260" w:afterAutospacing="0"/>
        <w:rPr>
          <w:color w:val="000000" w:themeColor="text1"/>
        </w:rPr>
      </w:pPr>
      <w:r w:rsidRPr="318EB4DF">
        <w:rPr>
          <w:color w:val="000000" w:themeColor="text1"/>
        </w:rPr>
        <w:t xml:space="preserve">ISO/IEC 27017  for Cloud Security </w:t>
      </w:r>
    </w:p>
    <w:p w14:paraId="35251BE8" w14:textId="1FC40968" w:rsidR="42FCE15D" w:rsidRDefault="42FCE15D" w:rsidP="003A4052">
      <w:pPr>
        <w:pStyle w:val="ListParagraph"/>
        <w:numPr>
          <w:ilvl w:val="0"/>
          <w:numId w:val="33"/>
        </w:numPr>
        <w:spacing w:before="260" w:beforeAutospacing="0" w:after="260" w:afterAutospacing="0"/>
        <w:rPr>
          <w:color w:val="000000" w:themeColor="text1"/>
        </w:rPr>
      </w:pPr>
      <w:r w:rsidRPr="318EB4DF">
        <w:rPr>
          <w:color w:val="000000" w:themeColor="text1"/>
        </w:rPr>
        <w:t>ISO/IEC 27018 for Cloud Privacy</w:t>
      </w:r>
    </w:p>
    <w:p w14:paraId="0D83B7F4" w14:textId="18755E54" w:rsidR="42FCE15D" w:rsidRDefault="42FCE15D" w:rsidP="003A4052">
      <w:pPr>
        <w:pStyle w:val="ListParagraph"/>
        <w:numPr>
          <w:ilvl w:val="0"/>
          <w:numId w:val="33"/>
        </w:numPr>
        <w:spacing w:before="260" w:beforeAutospacing="0" w:after="260" w:afterAutospacing="0"/>
        <w:rPr>
          <w:color w:val="000000" w:themeColor="text1"/>
        </w:rPr>
      </w:pPr>
      <w:r w:rsidRPr="318EB4DF">
        <w:rPr>
          <w:color w:val="000000" w:themeColor="text1"/>
        </w:rPr>
        <w:t>ISO/IEC 25010 on software quality model, particularly relevant for evaluating middleware software’s performance, reliability, and maintainability.</w:t>
      </w:r>
    </w:p>
    <w:p w14:paraId="63B752FE" w14:textId="59090982" w:rsidR="42FCE15D" w:rsidRDefault="42FCE15D" w:rsidP="003A4052">
      <w:pPr>
        <w:pStyle w:val="ListParagraph"/>
        <w:numPr>
          <w:ilvl w:val="0"/>
          <w:numId w:val="33"/>
        </w:numPr>
        <w:spacing w:before="240" w:beforeAutospacing="0" w:after="240" w:afterAutospacing="0"/>
        <w:rPr>
          <w:color w:val="000000" w:themeColor="text1"/>
        </w:rPr>
      </w:pPr>
      <w:r w:rsidRPr="318EB4DF">
        <w:rPr>
          <w:color w:val="000000" w:themeColor="text1"/>
        </w:rPr>
        <w:t>EU Cybersecurity Certification scheme on Common Criteria</w:t>
      </w:r>
    </w:p>
    <w:p w14:paraId="2C5E240E" w14:textId="6D940F21" w:rsidR="42FCE15D" w:rsidRDefault="42FCE15D" w:rsidP="003A4052">
      <w:pPr>
        <w:pStyle w:val="ListParagraph"/>
        <w:numPr>
          <w:ilvl w:val="0"/>
          <w:numId w:val="33"/>
        </w:numPr>
        <w:spacing w:before="240" w:beforeAutospacing="0" w:after="240" w:afterAutospacing="0"/>
        <w:rPr>
          <w:color w:val="000000" w:themeColor="text1"/>
        </w:rPr>
      </w:pPr>
      <w:r w:rsidRPr="318EB4DF">
        <w:rPr>
          <w:color w:val="000000" w:themeColor="text1"/>
        </w:rPr>
        <w:t>Binding corporate rules, codes of conduct, certifications or data protection seals that can demonstrate compliance with the GDPR</w:t>
      </w:r>
    </w:p>
    <w:p w14:paraId="65C7283A" w14:textId="1237B439" w:rsidR="42FCE15D" w:rsidRDefault="42FCE15D" w:rsidP="003A4052">
      <w:pPr>
        <w:pStyle w:val="ListParagraph"/>
        <w:numPr>
          <w:ilvl w:val="0"/>
          <w:numId w:val="33"/>
        </w:numPr>
        <w:spacing w:before="240" w:beforeAutospacing="0" w:after="240" w:afterAutospacing="0"/>
        <w:rPr>
          <w:color w:val="000000" w:themeColor="text1"/>
        </w:rPr>
      </w:pPr>
      <w:r w:rsidRPr="318EB4DF">
        <w:rPr>
          <w:color w:val="000000" w:themeColor="text1"/>
        </w:rPr>
        <w:t>OPC UA IEC 62541 on machine-to-machine communication; middleware that integrates industrial devices or supports machine-to-machine communication will benefit from adhering to OPC UA standards. Key for industrial automation and digital twin integration with IoT devices.</w:t>
      </w:r>
    </w:p>
    <w:p w14:paraId="10ACAD9B" w14:textId="4EB50F49" w:rsidR="42FCE15D" w:rsidRDefault="42FCE15D" w:rsidP="003A4052">
      <w:pPr>
        <w:pStyle w:val="ListParagraph"/>
        <w:numPr>
          <w:ilvl w:val="0"/>
          <w:numId w:val="33"/>
        </w:numPr>
        <w:spacing w:before="240" w:beforeAutospacing="0" w:after="240" w:afterAutospacing="0"/>
        <w:rPr>
          <w:color w:val="000000" w:themeColor="text1"/>
        </w:rPr>
      </w:pPr>
      <w:r w:rsidRPr="318EB4DF">
        <w:rPr>
          <w:color w:val="000000" w:themeColor="text1"/>
        </w:rPr>
        <w:t>ISO/IEC 30141on IoT reference architecture; guides middleware design to align with IoT reference models for interoperability.</w:t>
      </w:r>
    </w:p>
    <w:p w14:paraId="3B346C89" w14:textId="30CE3CB7" w:rsidR="42FCE15D" w:rsidRDefault="42FCE15D" w:rsidP="003A4052">
      <w:pPr>
        <w:pStyle w:val="ListParagraph"/>
        <w:numPr>
          <w:ilvl w:val="0"/>
          <w:numId w:val="33"/>
        </w:numPr>
        <w:spacing w:before="240" w:beforeAutospacing="0" w:after="240" w:afterAutospacing="0"/>
        <w:rPr>
          <w:color w:val="000000" w:themeColor="text1"/>
        </w:rPr>
      </w:pPr>
      <w:r w:rsidRPr="318EB4DF">
        <w:rPr>
          <w:color w:val="000000" w:themeColor="text1"/>
        </w:rPr>
        <w:t>EN 303 645 on IoT Security requirements; if middleware interacts with IoT devices, this ETSI standard ensures device and communication security.</w:t>
      </w:r>
    </w:p>
    <w:p w14:paraId="484168C5" w14:textId="646FAD14" w:rsidR="42FCE15D" w:rsidRDefault="42FCE15D" w:rsidP="003A4052">
      <w:pPr>
        <w:pStyle w:val="ListParagraph"/>
        <w:numPr>
          <w:ilvl w:val="0"/>
          <w:numId w:val="33"/>
        </w:numPr>
        <w:spacing w:before="240" w:beforeAutospacing="0" w:after="240" w:afterAutospacing="0"/>
        <w:rPr>
          <w:color w:val="000000" w:themeColor="text1"/>
        </w:rPr>
      </w:pPr>
      <w:r w:rsidRPr="318EB4DF">
        <w:rPr>
          <w:color w:val="000000" w:themeColor="text1"/>
        </w:rPr>
        <w:t>Any relevant certification on middleware software</w:t>
      </w:r>
    </w:p>
    <w:p w14:paraId="18EFBF41" w14:textId="135400D5" w:rsidR="3B990D90" w:rsidRPr="002229B8" w:rsidRDefault="3B990D90" w:rsidP="00204123">
      <w:pPr>
        <w:spacing w:before="240" w:beforeAutospacing="0" w:after="240" w:afterAutospacing="0"/>
        <w:rPr>
          <w:color w:val="000000" w:themeColor="text1"/>
        </w:rPr>
      </w:pPr>
      <w:r w:rsidRPr="002229B8">
        <w:rPr>
          <w:color w:val="000000" w:themeColor="text1"/>
        </w:rPr>
        <w:t xml:space="preserve">According to national law, requirements on data and security of software development services are outlined as follows: </w:t>
      </w:r>
    </w:p>
    <w:p w14:paraId="58DB2195" w14:textId="6AEB0D72" w:rsidR="3B990D90" w:rsidRPr="002229B8" w:rsidRDefault="3B990D90" w:rsidP="00204123">
      <w:pPr>
        <w:spacing w:before="0" w:beforeAutospacing="0" w:after="0" w:afterAutospacing="0"/>
        <w:rPr>
          <w:color w:val="0000FF"/>
        </w:rPr>
      </w:pPr>
      <w:r w:rsidRPr="002229B8">
        <w:rPr>
          <w:color w:val="0000FF"/>
        </w:rPr>
        <w:t>[</w:t>
      </w:r>
      <w:r w:rsidRPr="002229B8">
        <w:rPr>
          <w:i/>
          <w:iCs/>
          <w:color w:val="0000FF"/>
        </w:rPr>
        <w:t>complete it in accordance with relevant</w:t>
      </w:r>
      <w:r w:rsidRPr="002229B8">
        <w:rPr>
          <w:color w:val="0000FF"/>
        </w:rPr>
        <w:t xml:space="preserve"> </w:t>
      </w:r>
      <w:r w:rsidRPr="002229B8">
        <w:rPr>
          <w:i/>
          <w:iCs/>
          <w:color w:val="0000FF"/>
        </w:rPr>
        <w:t>national law</w:t>
      </w:r>
      <w:r w:rsidRPr="002229B8">
        <w:rPr>
          <w:color w:val="0000FF"/>
        </w:rPr>
        <w:t xml:space="preserve">] </w:t>
      </w:r>
    </w:p>
    <w:p w14:paraId="79D3FFCA" w14:textId="1933F1F5" w:rsidR="3B990D90" w:rsidRPr="002229B8" w:rsidRDefault="3B990D90" w:rsidP="00204123">
      <w:pPr>
        <w:spacing w:before="240" w:beforeAutospacing="0" w:after="240" w:afterAutospacing="0"/>
        <w:rPr>
          <w:color w:val="000000" w:themeColor="text1"/>
        </w:rPr>
      </w:pPr>
      <w:r w:rsidRPr="002229B8">
        <w:rPr>
          <w:color w:val="000000" w:themeColor="text1"/>
        </w:rPr>
        <w:t xml:space="preserve">[...] </w:t>
      </w:r>
    </w:p>
    <w:p w14:paraId="4538CF66" w14:textId="4ACE5955" w:rsidR="64BC0178" w:rsidRPr="002229B8" w:rsidRDefault="64BC0178"/>
    <w:p w14:paraId="48C1D8E8" w14:textId="7854ACFB" w:rsidR="007023D1" w:rsidRPr="002229B8" w:rsidRDefault="007023D1" w:rsidP="00B17E1F">
      <w:pPr>
        <w:pStyle w:val="Heading1"/>
        <w:numPr>
          <w:ilvl w:val="0"/>
          <w:numId w:val="2"/>
        </w:numPr>
        <w:ind w:left="567" w:hanging="567"/>
        <w:rPr>
          <w:rStyle w:val="Heading1Char"/>
          <w:b/>
        </w:rPr>
      </w:pPr>
      <w:bookmarkStart w:id="82" w:name="_Toc191487098"/>
      <w:r w:rsidRPr="002229B8">
        <w:rPr>
          <w:rStyle w:val="Heading1Char"/>
          <w:b/>
        </w:rPr>
        <w:lastRenderedPageBreak/>
        <w:t>Applicable law</w:t>
      </w:r>
      <w:bookmarkEnd w:id="82"/>
    </w:p>
    <w:p w14:paraId="432D87CC" w14:textId="1F213C05" w:rsidR="00D05600" w:rsidRPr="002229B8" w:rsidRDefault="007023D1" w:rsidP="003A4052">
      <w:pPr>
        <w:spacing w:before="0" w:beforeAutospacing="0" w:after="160" w:afterAutospacing="0"/>
        <w:rPr>
          <w:rFonts w:eastAsiaTheme="minorHAnsi"/>
          <w:lang w:eastAsia="en-US"/>
          <w14:ligatures w14:val="standardContextual"/>
        </w:rPr>
      </w:pPr>
      <w:r w:rsidRPr="002229B8">
        <w:rPr>
          <w:rFonts w:eastAsiaTheme="minorHAnsi"/>
          <w:lang w:eastAsia="en-US"/>
          <w14:ligatures w14:val="standardContextual"/>
        </w:rPr>
        <w:t xml:space="preserve">The Administrative Court of </w:t>
      </w:r>
      <w:r w:rsidRPr="002229B8">
        <w:rPr>
          <w:color w:val="0000FF"/>
        </w:rPr>
        <w:t>[</w:t>
      </w:r>
      <w:r w:rsidRPr="002229B8">
        <w:rPr>
          <w:i/>
          <w:color w:val="0000FF"/>
        </w:rPr>
        <w:t xml:space="preserve">indicate relevant national </w:t>
      </w:r>
      <w:r w:rsidRPr="002229B8">
        <w:rPr>
          <w:bCs/>
          <w:i/>
          <w:iCs/>
          <w:color w:val="0000FF"/>
        </w:rPr>
        <w:t>Administrative Court</w:t>
      </w:r>
      <w:r w:rsidRPr="002229B8">
        <w:rPr>
          <w:color w:val="0000FF"/>
        </w:rPr>
        <w:t xml:space="preserve">] </w:t>
      </w:r>
      <w:r w:rsidRPr="002229B8">
        <w:rPr>
          <w:rFonts w:eastAsiaTheme="minorHAnsi"/>
          <w:lang w:eastAsia="en-US"/>
          <w14:ligatures w14:val="standardContextual"/>
        </w:rPr>
        <w:t>is competent for all disputes arising from the execution and/or interpretation of the contract, as per the present Technical Specifications document.</w:t>
      </w:r>
      <w:bookmarkEnd w:id="0"/>
      <w:bookmarkEnd w:id="1"/>
    </w:p>
    <w:sectPr w:rsidR="00D05600" w:rsidRPr="002229B8" w:rsidSect="002B5061">
      <w:headerReference w:type="even" r:id="rId17"/>
      <w:headerReference w:type="default" r:id="rId18"/>
      <w:footerReference w:type="even" r:id="rId19"/>
      <w:footerReference w:type="default" r:id="rId20"/>
      <w:headerReference w:type="first" r:id="rId21"/>
      <w:footerReference w:type="first" r:id="rId22"/>
      <w:pgSz w:w="12240" w:h="15840"/>
      <w:pgMar w:top="851"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FC0A22" w14:textId="77777777" w:rsidR="00C34293" w:rsidRDefault="00C34293" w:rsidP="00C02235">
      <w:pPr>
        <w:spacing w:before="0" w:after="0"/>
      </w:pPr>
      <w:r>
        <w:separator/>
      </w:r>
    </w:p>
  </w:endnote>
  <w:endnote w:type="continuationSeparator" w:id="0">
    <w:p w14:paraId="16F6628E" w14:textId="77777777" w:rsidR="00C34293" w:rsidRDefault="00C34293" w:rsidP="00C02235">
      <w:pPr>
        <w:spacing w:before="0" w:after="0"/>
      </w:pPr>
      <w:r>
        <w:continuationSeparator/>
      </w:r>
    </w:p>
  </w:endnote>
  <w:endnote w:type="continuationNotice" w:id="1">
    <w:p w14:paraId="10535782" w14:textId="77777777" w:rsidR="00C34293" w:rsidRDefault="00C34293">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35003" w14:textId="77777777" w:rsidR="007B3E52" w:rsidRDefault="007B3E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805571"/>
      <w:docPartObj>
        <w:docPartGallery w:val="Page Numbers (Bottom of Page)"/>
        <w:docPartUnique/>
      </w:docPartObj>
    </w:sdtPr>
    <w:sdtEndPr>
      <w:rPr>
        <w:noProof/>
      </w:rPr>
    </w:sdtEndPr>
    <w:sdtContent>
      <w:p w14:paraId="177CC4BC" w14:textId="77777777" w:rsidR="007B3E52" w:rsidRDefault="007B3E5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8941007" w14:textId="77777777" w:rsidR="007B3E52" w:rsidRDefault="007B3E5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830CE5" w14:textId="77777777" w:rsidR="007B3E52" w:rsidRDefault="007B3E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9735AB" w14:textId="77777777" w:rsidR="00C34293" w:rsidRDefault="00C34293" w:rsidP="00C02235">
      <w:pPr>
        <w:spacing w:before="0" w:after="0"/>
      </w:pPr>
      <w:r>
        <w:separator/>
      </w:r>
    </w:p>
  </w:footnote>
  <w:footnote w:type="continuationSeparator" w:id="0">
    <w:p w14:paraId="0FD302DA" w14:textId="77777777" w:rsidR="00C34293" w:rsidRDefault="00C34293" w:rsidP="00C02235">
      <w:pPr>
        <w:spacing w:before="0" w:after="0"/>
      </w:pPr>
      <w:r>
        <w:continuationSeparator/>
      </w:r>
    </w:p>
  </w:footnote>
  <w:footnote w:type="continuationNotice" w:id="1">
    <w:p w14:paraId="6C90AF90" w14:textId="77777777" w:rsidR="00C34293" w:rsidRDefault="00C34293">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5C9F9C" w14:textId="77777777" w:rsidR="007B3E52" w:rsidRDefault="007B3E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37F70" w14:textId="77777777" w:rsidR="007B3E52" w:rsidRDefault="007B3E5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A92CE" w14:textId="77777777" w:rsidR="007B3E52" w:rsidRDefault="007B3E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1FA45650"/>
    <w:lvl w:ilvl="0">
      <w:start w:val="1"/>
      <w:numFmt w:val="bullet"/>
      <w:pStyle w:val="ListBullet5"/>
      <w:lvlText w:val=""/>
      <w:lvlJc w:val="left"/>
      <w:pPr>
        <w:tabs>
          <w:tab w:val="num" w:pos="1492"/>
        </w:tabs>
        <w:ind w:left="1492" w:hanging="360"/>
      </w:pPr>
      <w:rPr>
        <w:rFonts w:ascii="Symbol" w:hAnsi="Symbol" w:hint="default"/>
      </w:rPr>
    </w:lvl>
  </w:abstractNum>
  <w:abstractNum w:abstractNumId="1" w15:restartNumberingAfterBreak="0">
    <w:nsid w:val="0023E413"/>
    <w:multiLevelType w:val="hybridMultilevel"/>
    <w:tmpl w:val="224C4A48"/>
    <w:lvl w:ilvl="0" w:tplc="35C6649E">
      <w:start w:val="1"/>
      <w:numFmt w:val="bullet"/>
      <w:lvlText w:val=""/>
      <w:lvlJc w:val="left"/>
      <w:pPr>
        <w:ind w:left="1080" w:hanging="360"/>
      </w:pPr>
      <w:rPr>
        <w:rFonts w:ascii="Symbol" w:hAnsi="Symbol" w:hint="default"/>
      </w:rPr>
    </w:lvl>
    <w:lvl w:ilvl="1" w:tplc="9732F72A">
      <w:start w:val="1"/>
      <w:numFmt w:val="bullet"/>
      <w:lvlText w:val="o"/>
      <w:lvlJc w:val="left"/>
      <w:pPr>
        <w:ind w:left="1800" w:hanging="360"/>
      </w:pPr>
      <w:rPr>
        <w:rFonts w:ascii="Courier New" w:hAnsi="Courier New" w:hint="default"/>
      </w:rPr>
    </w:lvl>
    <w:lvl w:ilvl="2" w:tplc="A0C6390E">
      <w:start w:val="1"/>
      <w:numFmt w:val="bullet"/>
      <w:lvlText w:val=""/>
      <w:lvlJc w:val="left"/>
      <w:pPr>
        <w:ind w:left="2520" w:hanging="360"/>
      </w:pPr>
      <w:rPr>
        <w:rFonts w:ascii="Wingdings" w:hAnsi="Wingdings" w:hint="default"/>
      </w:rPr>
    </w:lvl>
    <w:lvl w:ilvl="3" w:tplc="36A2316E">
      <w:start w:val="1"/>
      <w:numFmt w:val="bullet"/>
      <w:lvlText w:val=""/>
      <w:lvlJc w:val="left"/>
      <w:pPr>
        <w:ind w:left="3240" w:hanging="360"/>
      </w:pPr>
      <w:rPr>
        <w:rFonts w:ascii="Symbol" w:hAnsi="Symbol" w:hint="default"/>
      </w:rPr>
    </w:lvl>
    <w:lvl w:ilvl="4" w:tplc="CA4660E4">
      <w:start w:val="1"/>
      <w:numFmt w:val="bullet"/>
      <w:lvlText w:val="o"/>
      <w:lvlJc w:val="left"/>
      <w:pPr>
        <w:ind w:left="3960" w:hanging="360"/>
      </w:pPr>
      <w:rPr>
        <w:rFonts w:ascii="Courier New" w:hAnsi="Courier New" w:hint="default"/>
      </w:rPr>
    </w:lvl>
    <w:lvl w:ilvl="5" w:tplc="980C96B0">
      <w:start w:val="1"/>
      <w:numFmt w:val="bullet"/>
      <w:lvlText w:val=""/>
      <w:lvlJc w:val="left"/>
      <w:pPr>
        <w:ind w:left="4680" w:hanging="360"/>
      </w:pPr>
      <w:rPr>
        <w:rFonts w:ascii="Wingdings" w:hAnsi="Wingdings" w:hint="default"/>
      </w:rPr>
    </w:lvl>
    <w:lvl w:ilvl="6" w:tplc="679C306E">
      <w:start w:val="1"/>
      <w:numFmt w:val="bullet"/>
      <w:lvlText w:val=""/>
      <w:lvlJc w:val="left"/>
      <w:pPr>
        <w:ind w:left="5400" w:hanging="360"/>
      </w:pPr>
      <w:rPr>
        <w:rFonts w:ascii="Symbol" w:hAnsi="Symbol" w:hint="default"/>
      </w:rPr>
    </w:lvl>
    <w:lvl w:ilvl="7" w:tplc="45D6B224">
      <w:start w:val="1"/>
      <w:numFmt w:val="bullet"/>
      <w:lvlText w:val="o"/>
      <w:lvlJc w:val="left"/>
      <w:pPr>
        <w:ind w:left="6120" w:hanging="360"/>
      </w:pPr>
      <w:rPr>
        <w:rFonts w:ascii="Courier New" w:hAnsi="Courier New" w:hint="default"/>
      </w:rPr>
    </w:lvl>
    <w:lvl w:ilvl="8" w:tplc="89F4C09E">
      <w:start w:val="1"/>
      <w:numFmt w:val="bullet"/>
      <w:lvlText w:val=""/>
      <w:lvlJc w:val="left"/>
      <w:pPr>
        <w:ind w:left="6840" w:hanging="360"/>
      </w:pPr>
      <w:rPr>
        <w:rFonts w:ascii="Wingdings" w:hAnsi="Wingdings" w:hint="default"/>
      </w:rPr>
    </w:lvl>
  </w:abstractNum>
  <w:abstractNum w:abstractNumId="2" w15:restartNumberingAfterBreak="0">
    <w:nsid w:val="007F3DFF"/>
    <w:multiLevelType w:val="hybridMultilevel"/>
    <w:tmpl w:val="DBCC9AE8"/>
    <w:lvl w:ilvl="0" w:tplc="5566ACF8">
      <w:start w:val="1"/>
      <w:numFmt w:val="bullet"/>
      <w:lvlText w:val=""/>
      <w:lvlJc w:val="left"/>
      <w:pPr>
        <w:ind w:left="720" w:hanging="360"/>
      </w:pPr>
      <w:rPr>
        <w:rFonts w:ascii="Symbol" w:hAnsi="Symbol" w:hint="default"/>
      </w:rPr>
    </w:lvl>
    <w:lvl w:ilvl="1" w:tplc="2D322E3C">
      <w:start w:val="1"/>
      <w:numFmt w:val="bullet"/>
      <w:lvlText w:val="o"/>
      <w:lvlJc w:val="left"/>
      <w:pPr>
        <w:ind w:left="1440" w:hanging="360"/>
      </w:pPr>
      <w:rPr>
        <w:rFonts w:ascii="Courier New" w:hAnsi="Courier New" w:cs="Times New Roman" w:hint="default"/>
      </w:rPr>
    </w:lvl>
    <w:lvl w:ilvl="2" w:tplc="106422C8">
      <w:start w:val="1"/>
      <w:numFmt w:val="bullet"/>
      <w:lvlText w:val=""/>
      <w:lvlJc w:val="left"/>
      <w:pPr>
        <w:ind w:left="2160" w:hanging="360"/>
      </w:pPr>
      <w:rPr>
        <w:rFonts w:ascii="Wingdings" w:hAnsi="Wingdings" w:hint="default"/>
      </w:rPr>
    </w:lvl>
    <w:lvl w:ilvl="3" w:tplc="A7EA2712">
      <w:start w:val="1"/>
      <w:numFmt w:val="bullet"/>
      <w:lvlText w:val=""/>
      <w:lvlJc w:val="left"/>
      <w:pPr>
        <w:ind w:left="2880" w:hanging="360"/>
      </w:pPr>
      <w:rPr>
        <w:rFonts w:ascii="Symbol" w:hAnsi="Symbol" w:hint="default"/>
      </w:rPr>
    </w:lvl>
    <w:lvl w:ilvl="4" w:tplc="327E56B4">
      <w:start w:val="1"/>
      <w:numFmt w:val="bullet"/>
      <w:lvlText w:val="o"/>
      <w:lvlJc w:val="left"/>
      <w:pPr>
        <w:ind w:left="3600" w:hanging="360"/>
      </w:pPr>
      <w:rPr>
        <w:rFonts w:ascii="Courier New" w:hAnsi="Courier New" w:cs="Times New Roman" w:hint="default"/>
      </w:rPr>
    </w:lvl>
    <w:lvl w:ilvl="5" w:tplc="C8AE726C">
      <w:start w:val="1"/>
      <w:numFmt w:val="bullet"/>
      <w:lvlText w:val=""/>
      <w:lvlJc w:val="left"/>
      <w:pPr>
        <w:ind w:left="4320" w:hanging="360"/>
      </w:pPr>
      <w:rPr>
        <w:rFonts w:ascii="Wingdings" w:hAnsi="Wingdings" w:hint="default"/>
      </w:rPr>
    </w:lvl>
    <w:lvl w:ilvl="6" w:tplc="00865120">
      <w:start w:val="1"/>
      <w:numFmt w:val="bullet"/>
      <w:lvlText w:val=""/>
      <w:lvlJc w:val="left"/>
      <w:pPr>
        <w:ind w:left="5040" w:hanging="360"/>
      </w:pPr>
      <w:rPr>
        <w:rFonts w:ascii="Symbol" w:hAnsi="Symbol" w:hint="default"/>
      </w:rPr>
    </w:lvl>
    <w:lvl w:ilvl="7" w:tplc="C362225E">
      <w:start w:val="1"/>
      <w:numFmt w:val="bullet"/>
      <w:lvlText w:val="o"/>
      <w:lvlJc w:val="left"/>
      <w:pPr>
        <w:ind w:left="5760" w:hanging="360"/>
      </w:pPr>
      <w:rPr>
        <w:rFonts w:ascii="Courier New" w:hAnsi="Courier New" w:cs="Times New Roman" w:hint="default"/>
      </w:rPr>
    </w:lvl>
    <w:lvl w:ilvl="8" w:tplc="DF88264C">
      <w:start w:val="1"/>
      <w:numFmt w:val="bullet"/>
      <w:lvlText w:val=""/>
      <w:lvlJc w:val="left"/>
      <w:pPr>
        <w:ind w:left="6480" w:hanging="360"/>
      </w:pPr>
      <w:rPr>
        <w:rFonts w:ascii="Wingdings" w:hAnsi="Wingdings" w:hint="default"/>
      </w:rPr>
    </w:lvl>
  </w:abstractNum>
  <w:abstractNum w:abstractNumId="3" w15:restartNumberingAfterBreak="0">
    <w:nsid w:val="0F24054A"/>
    <w:multiLevelType w:val="hybridMultilevel"/>
    <w:tmpl w:val="FCDC0F6E"/>
    <w:lvl w:ilvl="0" w:tplc="656406B6">
      <w:start w:val="1"/>
      <w:numFmt w:val="decimal"/>
      <w:lvlText w:val="%1."/>
      <w:lvlJc w:val="left"/>
      <w:pPr>
        <w:ind w:left="720" w:hanging="360"/>
      </w:pPr>
      <w:rPr>
        <w:b w:val="0"/>
        <w:bCs w:val="0"/>
        <w:i w:val="0"/>
        <w:iCs/>
        <w:color w:val="000000" w:themeColor="text1"/>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0FFF74A1"/>
    <w:multiLevelType w:val="hybridMultilevel"/>
    <w:tmpl w:val="3506884C"/>
    <w:lvl w:ilvl="0" w:tplc="746AA26E">
      <w:start w:val="1"/>
      <w:numFmt w:val="bullet"/>
      <w:lvlText w:val=""/>
      <w:lvlJc w:val="left"/>
      <w:pPr>
        <w:ind w:left="720" w:hanging="360"/>
      </w:pPr>
      <w:rPr>
        <w:rFonts w:ascii="Symbol" w:hAnsi="Symbol" w:hint="default"/>
      </w:rPr>
    </w:lvl>
    <w:lvl w:ilvl="1" w:tplc="D9786E3A">
      <w:start w:val="1"/>
      <w:numFmt w:val="bullet"/>
      <w:lvlText w:val="o"/>
      <w:lvlJc w:val="left"/>
      <w:pPr>
        <w:ind w:left="1440" w:hanging="360"/>
      </w:pPr>
      <w:rPr>
        <w:rFonts w:ascii="Courier New" w:hAnsi="Courier New" w:hint="default"/>
      </w:rPr>
    </w:lvl>
    <w:lvl w:ilvl="2" w:tplc="0CE891CE">
      <w:start w:val="1"/>
      <w:numFmt w:val="bullet"/>
      <w:lvlText w:val=""/>
      <w:lvlJc w:val="left"/>
      <w:pPr>
        <w:ind w:left="2160" w:hanging="360"/>
      </w:pPr>
      <w:rPr>
        <w:rFonts w:ascii="Wingdings" w:hAnsi="Wingdings" w:hint="default"/>
      </w:rPr>
    </w:lvl>
    <w:lvl w:ilvl="3" w:tplc="30C4448A">
      <w:start w:val="1"/>
      <w:numFmt w:val="bullet"/>
      <w:lvlText w:val=""/>
      <w:lvlJc w:val="left"/>
      <w:pPr>
        <w:ind w:left="2880" w:hanging="360"/>
      </w:pPr>
      <w:rPr>
        <w:rFonts w:ascii="Symbol" w:hAnsi="Symbol" w:hint="default"/>
      </w:rPr>
    </w:lvl>
    <w:lvl w:ilvl="4" w:tplc="E2B49E60">
      <w:start w:val="1"/>
      <w:numFmt w:val="bullet"/>
      <w:lvlText w:val="o"/>
      <w:lvlJc w:val="left"/>
      <w:pPr>
        <w:ind w:left="3600" w:hanging="360"/>
      </w:pPr>
      <w:rPr>
        <w:rFonts w:ascii="Courier New" w:hAnsi="Courier New" w:hint="default"/>
      </w:rPr>
    </w:lvl>
    <w:lvl w:ilvl="5" w:tplc="4CEA335C">
      <w:start w:val="1"/>
      <w:numFmt w:val="bullet"/>
      <w:lvlText w:val=""/>
      <w:lvlJc w:val="left"/>
      <w:pPr>
        <w:ind w:left="4320" w:hanging="360"/>
      </w:pPr>
      <w:rPr>
        <w:rFonts w:ascii="Wingdings" w:hAnsi="Wingdings" w:hint="default"/>
      </w:rPr>
    </w:lvl>
    <w:lvl w:ilvl="6" w:tplc="9BDE3012">
      <w:start w:val="1"/>
      <w:numFmt w:val="bullet"/>
      <w:lvlText w:val=""/>
      <w:lvlJc w:val="left"/>
      <w:pPr>
        <w:ind w:left="5040" w:hanging="360"/>
      </w:pPr>
      <w:rPr>
        <w:rFonts w:ascii="Symbol" w:hAnsi="Symbol" w:hint="default"/>
      </w:rPr>
    </w:lvl>
    <w:lvl w:ilvl="7" w:tplc="89E0010E">
      <w:start w:val="1"/>
      <w:numFmt w:val="bullet"/>
      <w:lvlText w:val="o"/>
      <w:lvlJc w:val="left"/>
      <w:pPr>
        <w:ind w:left="5760" w:hanging="360"/>
      </w:pPr>
      <w:rPr>
        <w:rFonts w:ascii="Courier New" w:hAnsi="Courier New" w:hint="default"/>
      </w:rPr>
    </w:lvl>
    <w:lvl w:ilvl="8" w:tplc="C0BC6D14">
      <w:start w:val="1"/>
      <w:numFmt w:val="bullet"/>
      <w:lvlText w:val=""/>
      <w:lvlJc w:val="left"/>
      <w:pPr>
        <w:ind w:left="6480" w:hanging="360"/>
      </w:pPr>
      <w:rPr>
        <w:rFonts w:ascii="Wingdings" w:hAnsi="Wingdings" w:hint="default"/>
      </w:rPr>
    </w:lvl>
  </w:abstractNum>
  <w:abstractNum w:abstractNumId="5" w15:restartNumberingAfterBreak="0">
    <w:nsid w:val="10EE3BD8"/>
    <w:multiLevelType w:val="hybridMultilevel"/>
    <w:tmpl w:val="77767DD6"/>
    <w:lvl w:ilvl="0" w:tplc="0C2661BA">
      <w:start w:val="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6A34BE"/>
    <w:multiLevelType w:val="hybridMultilevel"/>
    <w:tmpl w:val="C8A61EEC"/>
    <w:lvl w:ilvl="0" w:tplc="A656C0C2">
      <w:start w:val="1"/>
      <w:numFmt w:val="decimal"/>
      <w:lvlText w:val="%1."/>
      <w:lvlJc w:val="left"/>
      <w:pPr>
        <w:ind w:left="720" w:hanging="360"/>
      </w:pPr>
      <w:rPr>
        <w:b w:val="0"/>
        <w:bCs w:val="0"/>
        <w:sz w:val="24"/>
        <w:szCs w:val="24"/>
        <w:vertAlign w:val="baseline"/>
      </w:rPr>
    </w:lvl>
    <w:lvl w:ilvl="1" w:tplc="6FD827C2">
      <w:start w:val="1"/>
      <w:numFmt w:val="lowerLetter"/>
      <w:lvlText w:val="%2."/>
      <w:lvlJc w:val="left"/>
      <w:pPr>
        <w:ind w:left="1440" w:hanging="360"/>
      </w:pPr>
    </w:lvl>
    <w:lvl w:ilvl="2" w:tplc="CA4E8C46">
      <w:start w:val="1"/>
      <w:numFmt w:val="lowerRoman"/>
      <w:lvlText w:val="%3."/>
      <w:lvlJc w:val="right"/>
      <w:pPr>
        <w:ind w:left="2160" w:hanging="180"/>
      </w:pPr>
    </w:lvl>
    <w:lvl w:ilvl="3" w:tplc="FDD435C4">
      <w:start w:val="1"/>
      <w:numFmt w:val="decimal"/>
      <w:lvlText w:val="%4."/>
      <w:lvlJc w:val="left"/>
      <w:pPr>
        <w:ind w:left="2880" w:hanging="360"/>
      </w:pPr>
    </w:lvl>
    <w:lvl w:ilvl="4" w:tplc="00703B42">
      <w:start w:val="1"/>
      <w:numFmt w:val="lowerLetter"/>
      <w:lvlText w:val="%5."/>
      <w:lvlJc w:val="left"/>
      <w:pPr>
        <w:ind w:left="3600" w:hanging="360"/>
      </w:pPr>
    </w:lvl>
    <w:lvl w:ilvl="5" w:tplc="D2B4E330">
      <w:start w:val="1"/>
      <w:numFmt w:val="lowerRoman"/>
      <w:lvlText w:val="%6."/>
      <w:lvlJc w:val="right"/>
      <w:pPr>
        <w:ind w:left="4320" w:hanging="180"/>
      </w:pPr>
    </w:lvl>
    <w:lvl w:ilvl="6" w:tplc="3F505516">
      <w:start w:val="1"/>
      <w:numFmt w:val="decimal"/>
      <w:lvlText w:val="%7."/>
      <w:lvlJc w:val="left"/>
      <w:pPr>
        <w:ind w:left="5040" w:hanging="360"/>
      </w:pPr>
    </w:lvl>
    <w:lvl w:ilvl="7" w:tplc="9FFAC288">
      <w:start w:val="1"/>
      <w:numFmt w:val="lowerLetter"/>
      <w:lvlText w:val="%8."/>
      <w:lvlJc w:val="left"/>
      <w:pPr>
        <w:ind w:left="5760" w:hanging="360"/>
      </w:pPr>
    </w:lvl>
    <w:lvl w:ilvl="8" w:tplc="93C43676">
      <w:start w:val="1"/>
      <w:numFmt w:val="lowerRoman"/>
      <w:lvlText w:val="%9."/>
      <w:lvlJc w:val="right"/>
      <w:pPr>
        <w:ind w:left="6480" w:hanging="180"/>
      </w:pPr>
    </w:lvl>
  </w:abstractNum>
  <w:abstractNum w:abstractNumId="7" w15:restartNumberingAfterBreak="0">
    <w:nsid w:val="14CE810A"/>
    <w:multiLevelType w:val="hybridMultilevel"/>
    <w:tmpl w:val="593A8D68"/>
    <w:lvl w:ilvl="0" w:tplc="55981006">
      <w:start w:val="1"/>
      <w:numFmt w:val="lowerLetter"/>
      <w:lvlText w:val="%1."/>
      <w:lvlJc w:val="left"/>
      <w:pPr>
        <w:ind w:left="720" w:hanging="360"/>
      </w:pPr>
    </w:lvl>
    <w:lvl w:ilvl="1" w:tplc="1B3E64A8">
      <w:start w:val="1"/>
      <w:numFmt w:val="lowerLetter"/>
      <w:lvlText w:val="%2."/>
      <w:lvlJc w:val="left"/>
      <w:pPr>
        <w:ind w:left="1440" w:hanging="360"/>
      </w:pPr>
    </w:lvl>
    <w:lvl w:ilvl="2" w:tplc="1B6412EE">
      <w:start w:val="1"/>
      <w:numFmt w:val="lowerRoman"/>
      <w:lvlText w:val="%3."/>
      <w:lvlJc w:val="right"/>
      <w:pPr>
        <w:ind w:left="2160" w:hanging="180"/>
      </w:pPr>
    </w:lvl>
    <w:lvl w:ilvl="3" w:tplc="88F6B120">
      <w:start w:val="1"/>
      <w:numFmt w:val="decimal"/>
      <w:lvlText w:val="%4."/>
      <w:lvlJc w:val="left"/>
      <w:pPr>
        <w:ind w:left="2880" w:hanging="360"/>
      </w:pPr>
    </w:lvl>
    <w:lvl w:ilvl="4" w:tplc="A97A3E5E">
      <w:start w:val="1"/>
      <w:numFmt w:val="lowerLetter"/>
      <w:lvlText w:val="%5."/>
      <w:lvlJc w:val="left"/>
      <w:pPr>
        <w:ind w:left="3600" w:hanging="360"/>
      </w:pPr>
    </w:lvl>
    <w:lvl w:ilvl="5" w:tplc="0E1EEDDE">
      <w:start w:val="1"/>
      <w:numFmt w:val="lowerRoman"/>
      <w:lvlText w:val="%6."/>
      <w:lvlJc w:val="right"/>
      <w:pPr>
        <w:ind w:left="4320" w:hanging="180"/>
      </w:pPr>
    </w:lvl>
    <w:lvl w:ilvl="6" w:tplc="126E80CC">
      <w:start w:val="1"/>
      <w:numFmt w:val="decimal"/>
      <w:lvlText w:val="%7."/>
      <w:lvlJc w:val="left"/>
      <w:pPr>
        <w:ind w:left="5040" w:hanging="360"/>
      </w:pPr>
    </w:lvl>
    <w:lvl w:ilvl="7" w:tplc="8F5E755C">
      <w:start w:val="1"/>
      <w:numFmt w:val="lowerLetter"/>
      <w:lvlText w:val="%8."/>
      <w:lvlJc w:val="left"/>
      <w:pPr>
        <w:ind w:left="5760" w:hanging="360"/>
      </w:pPr>
    </w:lvl>
    <w:lvl w:ilvl="8" w:tplc="B2CA7150">
      <w:start w:val="1"/>
      <w:numFmt w:val="lowerRoman"/>
      <w:lvlText w:val="%9."/>
      <w:lvlJc w:val="right"/>
      <w:pPr>
        <w:ind w:left="6480" w:hanging="180"/>
      </w:pPr>
    </w:lvl>
  </w:abstractNum>
  <w:abstractNum w:abstractNumId="8" w15:restartNumberingAfterBreak="0">
    <w:nsid w:val="20440CA7"/>
    <w:multiLevelType w:val="hybridMultilevel"/>
    <w:tmpl w:val="9168B710"/>
    <w:lvl w:ilvl="0" w:tplc="7EF045D6">
      <w:start w:val="1"/>
      <w:numFmt w:val="bullet"/>
      <w:lvlText w:val=""/>
      <w:lvlJc w:val="left"/>
      <w:pPr>
        <w:ind w:left="1080" w:hanging="360"/>
      </w:pPr>
      <w:rPr>
        <w:rFonts w:ascii="Symbol" w:hAnsi="Symbol" w:hint="default"/>
      </w:rPr>
    </w:lvl>
    <w:lvl w:ilvl="1" w:tplc="92A09602">
      <w:start w:val="1"/>
      <w:numFmt w:val="bullet"/>
      <w:lvlText w:val="o"/>
      <w:lvlJc w:val="left"/>
      <w:pPr>
        <w:ind w:left="1800" w:hanging="360"/>
      </w:pPr>
      <w:rPr>
        <w:rFonts w:ascii="Courier New" w:hAnsi="Courier New" w:hint="default"/>
      </w:rPr>
    </w:lvl>
    <w:lvl w:ilvl="2" w:tplc="70F83E02">
      <w:start w:val="1"/>
      <w:numFmt w:val="bullet"/>
      <w:lvlText w:val=""/>
      <w:lvlJc w:val="left"/>
      <w:pPr>
        <w:ind w:left="2520" w:hanging="360"/>
      </w:pPr>
      <w:rPr>
        <w:rFonts w:ascii="Wingdings" w:hAnsi="Wingdings" w:hint="default"/>
      </w:rPr>
    </w:lvl>
    <w:lvl w:ilvl="3" w:tplc="43F09B0A">
      <w:start w:val="1"/>
      <w:numFmt w:val="bullet"/>
      <w:lvlText w:val=""/>
      <w:lvlJc w:val="left"/>
      <w:pPr>
        <w:ind w:left="3240" w:hanging="360"/>
      </w:pPr>
      <w:rPr>
        <w:rFonts w:ascii="Symbol" w:hAnsi="Symbol" w:hint="default"/>
      </w:rPr>
    </w:lvl>
    <w:lvl w:ilvl="4" w:tplc="58C609E6">
      <w:start w:val="1"/>
      <w:numFmt w:val="bullet"/>
      <w:lvlText w:val="o"/>
      <w:lvlJc w:val="left"/>
      <w:pPr>
        <w:ind w:left="3960" w:hanging="360"/>
      </w:pPr>
      <w:rPr>
        <w:rFonts w:ascii="Courier New" w:hAnsi="Courier New" w:hint="default"/>
      </w:rPr>
    </w:lvl>
    <w:lvl w:ilvl="5" w:tplc="22F0DBEE">
      <w:start w:val="1"/>
      <w:numFmt w:val="bullet"/>
      <w:lvlText w:val=""/>
      <w:lvlJc w:val="left"/>
      <w:pPr>
        <w:ind w:left="4680" w:hanging="360"/>
      </w:pPr>
      <w:rPr>
        <w:rFonts w:ascii="Wingdings" w:hAnsi="Wingdings" w:hint="default"/>
      </w:rPr>
    </w:lvl>
    <w:lvl w:ilvl="6" w:tplc="DD78D74C">
      <w:start w:val="1"/>
      <w:numFmt w:val="bullet"/>
      <w:lvlText w:val=""/>
      <w:lvlJc w:val="left"/>
      <w:pPr>
        <w:ind w:left="5400" w:hanging="360"/>
      </w:pPr>
      <w:rPr>
        <w:rFonts w:ascii="Symbol" w:hAnsi="Symbol" w:hint="default"/>
      </w:rPr>
    </w:lvl>
    <w:lvl w:ilvl="7" w:tplc="1C847B06">
      <w:start w:val="1"/>
      <w:numFmt w:val="bullet"/>
      <w:lvlText w:val="o"/>
      <w:lvlJc w:val="left"/>
      <w:pPr>
        <w:ind w:left="6120" w:hanging="360"/>
      </w:pPr>
      <w:rPr>
        <w:rFonts w:ascii="Courier New" w:hAnsi="Courier New" w:hint="default"/>
      </w:rPr>
    </w:lvl>
    <w:lvl w:ilvl="8" w:tplc="17602892">
      <w:start w:val="1"/>
      <w:numFmt w:val="bullet"/>
      <w:lvlText w:val=""/>
      <w:lvlJc w:val="left"/>
      <w:pPr>
        <w:ind w:left="6840" w:hanging="360"/>
      </w:pPr>
      <w:rPr>
        <w:rFonts w:ascii="Wingdings" w:hAnsi="Wingdings" w:hint="default"/>
      </w:rPr>
    </w:lvl>
  </w:abstractNum>
  <w:abstractNum w:abstractNumId="9" w15:restartNumberingAfterBreak="0">
    <w:nsid w:val="22330155"/>
    <w:multiLevelType w:val="hybridMultilevel"/>
    <w:tmpl w:val="8EF84AE6"/>
    <w:lvl w:ilvl="0" w:tplc="DEC61554">
      <w:start w:val="1"/>
      <w:numFmt w:val="bullet"/>
      <w:lvlText w:val=""/>
      <w:lvlJc w:val="left"/>
      <w:pPr>
        <w:ind w:left="720" w:hanging="360"/>
      </w:pPr>
      <w:rPr>
        <w:rFonts w:ascii="Symbol" w:hAnsi="Symbol" w:hint="default"/>
      </w:rPr>
    </w:lvl>
    <w:lvl w:ilvl="1" w:tplc="797C0C78">
      <w:start w:val="1"/>
      <w:numFmt w:val="bullet"/>
      <w:lvlText w:val="o"/>
      <w:lvlJc w:val="left"/>
      <w:pPr>
        <w:ind w:left="1440" w:hanging="360"/>
      </w:pPr>
      <w:rPr>
        <w:rFonts w:ascii="Courier New" w:hAnsi="Courier New" w:cs="Times New Roman" w:hint="default"/>
      </w:rPr>
    </w:lvl>
    <w:lvl w:ilvl="2" w:tplc="BC6AD2F8">
      <w:start w:val="1"/>
      <w:numFmt w:val="bullet"/>
      <w:lvlText w:val=""/>
      <w:lvlJc w:val="left"/>
      <w:pPr>
        <w:ind w:left="2160" w:hanging="360"/>
      </w:pPr>
      <w:rPr>
        <w:rFonts w:ascii="Wingdings" w:hAnsi="Wingdings" w:hint="default"/>
      </w:rPr>
    </w:lvl>
    <w:lvl w:ilvl="3" w:tplc="F1667D66">
      <w:start w:val="1"/>
      <w:numFmt w:val="bullet"/>
      <w:lvlText w:val=""/>
      <w:lvlJc w:val="left"/>
      <w:pPr>
        <w:ind w:left="2880" w:hanging="360"/>
      </w:pPr>
      <w:rPr>
        <w:rFonts w:ascii="Symbol" w:hAnsi="Symbol" w:hint="default"/>
      </w:rPr>
    </w:lvl>
    <w:lvl w:ilvl="4" w:tplc="4F444920">
      <w:start w:val="1"/>
      <w:numFmt w:val="bullet"/>
      <w:lvlText w:val="o"/>
      <w:lvlJc w:val="left"/>
      <w:pPr>
        <w:ind w:left="3600" w:hanging="360"/>
      </w:pPr>
      <w:rPr>
        <w:rFonts w:ascii="Courier New" w:hAnsi="Courier New" w:cs="Times New Roman" w:hint="default"/>
      </w:rPr>
    </w:lvl>
    <w:lvl w:ilvl="5" w:tplc="A282C592">
      <w:start w:val="1"/>
      <w:numFmt w:val="bullet"/>
      <w:lvlText w:val=""/>
      <w:lvlJc w:val="left"/>
      <w:pPr>
        <w:ind w:left="4320" w:hanging="360"/>
      </w:pPr>
      <w:rPr>
        <w:rFonts w:ascii="Wingdings" w:hAnsi="Wingdings" w:hint="default"/>
      </w:rPr>
    </w:lvl>
    <w:lvl w:ilvl="6" w:tplc="EE32A64C">
      <w:start w:val="1"/>
      <w:numFmt w:val="bullet"/>
      <w:lvlText w:val=""/>
      <w:lvlJc w:val="left"/>
      <w:pPr>
        <w:ind w:left="5040" w:hanging="360"/>
      </w:pPr>
      <w:rPr>
        <w:rFonts w:ascii="Symbol" w:hAnsi="Symbol" w:hint="default"/>
      </w:rPr>
    </w:lvl>
    <w:lvl w:ilvl="7" w:tplc="26D2C2BE">
      <w:start w:val="1"/>
      <w:numFmt w:val="bullet"/>
      <w:lvlText w:val="o"/>
      <w:lvlJc w:val="left"/>
      <w:pPr>
        <w:ind w:left="5760" w:hanging="360"/>
      </w:pPr>
      <w:rPr>
        <w:rFonts w:ascii="Courier New" w:hAnsi="Courier New" w:cs="Times New Roman" w:hint="default"/>
      </w:rPr>
    </w:lvl>
    <w:lvl w:ilvl="8" w:tplc="713EB61A">
      <w:start w:val="1"/>
      <w:numFmt w:val="bullet"/>
      <w:lvlText w:val=""/>
      <w:lvlJc w:val="left"/>
      <w:pPr>
        <w:ind w:left="6480" w:hanging="360"/>
      </w:pPr>
      <w:rPr>
        <w:rFonts w:ascii="Wingdings" w:hAnsi="Wingdings" w:hint="default"/>
      </w:rPr>
    </w:lvl>
  </w:abstractNum>
  <w:abstractNum w:abstractNumId="10" w15:restartNumberingAfterBreak="0">
    <w:nsid w:val="227C2971"/>
    <w:multiLevelType w:val="multilevel"/>
    <w:tmpl w:val="6A4439EA"/>
    <w:lvl w:ilvl="0">
      <w:start w:val="1"/>
      <w:numFmt w:val="decimal"/>
      <w:lvlText w:val="%1."/>
      <w:lvlJc w:val="left"/>
      <w:pPr>
        <w:ind w:left="360" w:hanging="360"/>
      </w:pPr>
      <w:rPr>
        <w:rFonts w:hint="default"/>
      </w:rPr>
    </w:lvl>
    <w:lvl w:ilvl="1">
      <w:start w:val="1"/>
      <w:numFmt w:val="decimal"/>
      <w:suff w:val="space"/>
      <w:lvlText w:val="%1.%2."/>
      <w:lvlJc w:val="left"/>
      <w:pPr>
        <w:ind w:left="2841" w:hanging="432"/>
      </w:pPr>
      <w:rPr>
        <w:rFonts w:hint="default"/>
      </w:rPr>
    </w:lvl>
    <w:lvl w:ilvl="2">
      <w:start w:val="1"/>
      <w:numFmt w:val="decimal"/>
      <w:suff w:val="space"/>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22C4213B"/>
    <w:multiLevelType w:val="hybridMultilevel"/>
    <w:tmpl w:val="7DE4280E"/>
    <w:lvl w:ilvl="0" w:tplc="F5F084F0">
      <w:start w:val="1"/>
      <w:numFmt w:val="bullet"/>
      <w:lvlText w:val=""/>
      <w:lvlJc w:val="left"/>
      <w:pPr>
        <w:ind w:left="720" w:hanging="360"/>
      </w:pPr>
      <w:rPr>
        <w:rFonts w:ascii="Symbol" w:hAnsi="Symbol" w:hint="default"/>
      </w:rPr>
    </w:lvl>
    <w:lvl w:ilvl="1" w:tplc="5C70B8EA">
      <w:start w:val="1"/>
      <w:numFmt w:val="bullet"/>
      <w:lvlText w:val="o"/>
      <w:lvlJc w:val="left"/>
      <w:pPr>
        <w:ind w:left="1440" w:hanging="360"/>
      </w:pPr>
      <w:rPr>
        <w:rFonts w:ascii="Courier New" w:hAnsi="Courier New" w:hint="default"/>
      </w:rPr>
    </w:lvl>
    <w:lvl w:ilvl="2" w:tplc="99746944">
      <w:start w:val="1"/>
      <w:numFmt w:val="bullet"/>
      <w:lvlText w:val=""/>
      <w:lvlJc w:val="left"/>
      <w:pPr>
        <w:ind w:left="2160" w:hanging="360"/>
      </w:pPr>
      <w:rPr>
        <w:rFonts w:ascii="Wingdings" w:hAnsi="Wingdings" w:hint="default"/>
      </w:rPr>
    </w:lvl>
    <w:lvl w:ilvl="3" w:tplc="E6027B34">
      <w:start w:val="1"/>
      <w:numFmt w:val="bullet"/>
      <w:lvlText w:val=""/>
      <w:lvlJc w:val="left"/>
      <w:pPr>
        <w:ind w:left="2880" w:hanging="360"/>
      </w:pPr>
      <w:rPr>
        <w:rFonts w:ascii="Symbol" w:hAnsi="Symbol" w:hint="default"/>
      </w:rPr>
    </w:lvl>
    <w:lvl w:ilvl="4" w:tplc="E0281B0C">
      <w:start w:val="1"/>
      <w:numFmt w:val="bullet"/>
      <w:lvlText w:val="o"/>
      <w:lvlJc w:val="left"/>
      <w:pPr>
        <w:ind w:left="3600" w:hanging="360"/>
      </w:pPr>
      <w:rPr>
        <w:rFonts w:ascii="Courier New" w:hAnsi="Courier New" w:hint="default"/>
      </w:rPr>
    </w:lvl>
    <w:lvl w:ilvl="5" w:tplc="EA9E52AC">
      <w:start w:val="1"/>
      <w:numFmt w:val="bullet"/>
      <w:lvlText w:val=""/>
      <w:lvlJc w:val="left"/>
      <w:pPr>
        <w:ind w:left="4320" w:hanging="360"/>
      </w:pPr>
      <w:rPr>
        <w:rFonts w:ascii="Wingdings" w:hAnsi="Wingdings" w:hint="default"/>
      </w:rPr>
    </w:lvl>
    <w:lvl w:ilvl="6" w:tplc="E9422A78">
      <w:start w:val="1"/>
      <w:numFmt w:val="bullet"/>
      <w:lvlText w:val=""/>
      <w:lvlJc w:val="left"/>
      <w:pPr>
        <w:ind w:left="5040" w:hanging="360"/>
      </w:pPr>
      <w:rPr>
        <w:rFonts w:ascii="Symbol" w:hAnsi="Symbol" w:hint="default"/>
      </w:rPr>
    </w:lvl>
    <w:lvl w:ilvl="7" w:tplc="ABAEB0FC">
      <w:start w:val="1"/>
      <w:numFmt w:val="bullet"/>
      <w:lvlText w:val="o"/>
      <w:lvlJc w:val="left"/>
      <w:pPr>
        <w:ind w:left="5760" w:hanging="360"/>
      </w:pPr>
      <w:rPr>
        <w:rFonts w:ascii="Courier New" w:hAnsi="Courier New" w:hint="default"/>
      </w:rPr>
    </w:lvl>
    <w:lvl w:ilvl="8" w:tplc="5C62741A">
      <w:start w:val="1"/>
      <w:numFmt w:val="bullet"/>
      <w:lvlText w:val=""/>
      <w:lvlJc w:val="left"/>
      <w:pPr>
        <w:ind w:left="6480" w:hanging="360"/>
      </w:pPr>
      <w:rPr>
        <w:rFonts w:ascii="Wingdings" w:hAnsi="Wingdings" w:hint="default"/>
      </w:rPr>
    </w:lvl>
  </w:abstractNum>
  <w:abstractNum w:abstractNumId="12" w15:restartNumberingAfterBreak="0">
    <w:nsid w:val="2382595C"/>
    <w:multiLevelType w:val="hybridMultilevel"/>
    <w:tmpl w:val="F6BC24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8C24DB2"/>
    <w:multiLevelType w:val="hybridMultilevel"/>
    <w:tmpl w:val="7DF81DC2"/>
    <w:lvl w:ilvl="0" w:tplc="B24CA3DA">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A2DAEF"/>
    <w:multiLevelType w:val="hybridMultilevel"/>
    <w:tmpl w:val="75FE143A"/>
    <w:lvl w:ilvl="0" w:tplc="08090001">
      <w:start w:val="1"/>
      <w:numFmt w:val="bullet"/>
      <w:lvlText w:val=""/>
      <w:lvlJc w:val="left"/>
      <w:pPr>
        <w:ind w:left="720" w:hanging="360"/>
      </w:pPr>
      <w:rPr>
        <w:rFonts w:ascii="Symbol" w:hAnsi="Symbol" w:hint="default"/>
      </w:rPr>
    </w:lvl>
    <w:lvl w:ilvl="1" w:tplc="D9F052BE">
      <w:start w:val="1"/>
      <w:numFmt w:val="bullet"/>
      <w:lvlText w:val="o"/>
      <w:lvlJc w:val="left"/>
      <w:pPr>
        <w:ind w:left="1440" w:hanging="360"/>
      </w:pPr>
      <w:rPr>
        <w:rFonts w:ascii="Courier New" w:hAnsi="Courier New" w:hint="default"/>
      </w:rPr>
    </w:lvl>
    <w:lvl w:ilvl="2" w:tplc="C1241D56">
      <w:start w:val="1"/>
      <w:numFmt w:val="bullet"/>
      <w:lvlText w:val=""/>
      <w:lvlJc w:val="left"/>
      <w:pPr>
        <w:ind w:left="2160" w:hanging="360"/>
      </w:pPr>
      <w:rPr>
        <w:rFonts w:ascii="Wingdings" w:hAnsi="Wingdings" w:hint="default"/>
      </w:rPr>
    </w:lvl>
    <w:lvl w:ilvl="3" w:tplc="D152DF7A">
      <w:start w:val="1"/>
      <w:numFmt w:val="bullet"/>
      <w:lvlText w:val=""/>
      <w:lvlJc w:val="left"/>
      <w:pPr>
        <w:ind w:left="2880" w:hanging="360"/>
      </w:pPr>
      <w:rPr>
        <w:rFonts w:ascii="Symbol" w:hAnsi="Symbol" w:hint="default"/>
      </w:rPr>
    </w:lvl>
    <w:lvl w:ilvl="4" w:tplc="C49288D0">
      <w:start w:val="1"/>
      <w:numFmt w:val="bullet"/>
      <w:lvlText w:val="o"/>
      <w:lvlJc w:val="left"/>
      <w:pPr>
        <w:ind w:left="3600" w:hanging="360"/>
      </w:pPr>
      <w:rPr>
        <w:rFonts w:ascii="Courier New" w:hAnsi="Courier New" w:hint="default"/>
      </w:rPr>
    </w:lvl>
    <w:lvl w:ilvl="5" w:tplc="2D161DC8">
      <w:start w:val="1"/>
      <w:numFmt w:val="bullet"/>
      <w:lvlText w:val=""/>
      <w:lvlJc w:val="left"/>
      <w:pPr>
        <w:ind w:left="4320" w:hanging="360"/>
      </w:pPr>
      <w:rPr>
        <w:rFonts w:ascii="Wingdings" w:hAnsi="Wingdings" w:hint="default"/>
      </w:rPr>
    </w:lvl>
    <w:lvl w:ilvl="6" w:tplc="C8BA27EE">
      <w:start w:val="1"/>
      <w:numFmt w:val="bullet"/>
      <w:lvlText w:val=""/>
      <w:lvlJc w:val="left"/>
      <w:pPr>
        <w:ind w:left="5040" w:hanging="360"/>
      </w:pPr>
      <w:rPr>
        <w:rFonts w:ascii="Symbol" w:hAnsi="Symbol" w:hint="default"/>
      </w:rPr>
    </w:lvl>
    <w:lvl w:ilvl="7" w:tplc="1DA49B16">
      <w:start w:val="1"/>
      <w:numFmt w:val="bullet"/>
      <w:lvlText w:val="o"/>
      <w:lvlJc w:val="left"/>
      <w:pPr>
        <w:ind w:left="5760" w:hanging="360"/>
      </w:pPr>
      <w:rPr>
        <w:rFonts w:ascii="Courier New" w:hAnsi="Courier New" w:hint="default"/>
      </w:rPr>
    </w:lvl>
    <w:lvl w:ilvl="8" w:tplc="03681914">
      <w:start w:val="1"/>
      <w:numFmt w:val="bullet"/>
      <w:lvlText w:val=""/>
      <w:lvlJc w:val="left"/>
      <w:pPr>
        <w:ind w:left="6480" w:hanging="360"/>
      </w:pPr>
      <w:rPr>
        <w:rFonts w:ascii="Wingdings" w:hAnsi="Wingdings" w:hint="default"/>
      </w:rPr>
    </w:lvl>
  </w:abstractNum>
  <w:abstractNum w:abstractNumId="15" w15:restartNumberingAfterBreak="0">
    <w:nsid w:val="2DCB05EF"/>
    <w:multiLevelType w:val="hybridMultilevel"/>
    <w:tmpl w:val="FFFFFFFF"/>
    <w:lvl w:ilvl="0" w:tplc="57BC46AE">
      <w:start w:val="1"/>
      <w:numFmt w:val="decimal"/>
      <w:lvlText w:val="%1."/>
      <w:lvlJc w:val="left"/>
      <w:pPr>
        <w:ind w:left="720" w:hanging="360"/>
      </w:pPr>
    </w:lvl>
    <w:lvl w:ilvl="1" w:tplc="CF2ED346">
      <w:start w:val="1"/>
      <w:numFmt w:val="lowerLetter"/>
      <w:lvlText w:val="%2."/>
      <w:lvlJc w:val="left"/>
      <w:pPr>
        <w:ind w:left="1440" w:hanging="360"/>
      </w:pPr>
    </w:lvl>
    <w:lvl w:ilvl="2" w:tplc="E62252EE">
      <w:start w:val="1"/>
      <w:numFmt w:val="lowerRoman"/>
      <w:lvlText w:val="%3."/>
      <w:lvlJc w:val="right"/>
      <w:pPr>
        <w:ind w:left="2160" w:hanging="180"/>
      </w:pPr>
    </w:lvl>
    <w:lvl w:ilvl="3" w:tplc="F8380A74">
      <w:start w:val="1"/>
      <w:numFmt w:val="decimal"/>
      <w:lvlText w:val="%4."/>
      <w:lvlJc w:val="left"/>
      <w:pPr>
        <w:ind w:left="2880" w:hanging="360"/>
      </w:pPr>
    </w:lvl>
    <w:lvl w:ilvl="4" w:tplc="72FA6D38">
      <w:start w:val="1"/>
      <w:numFmt w:val="lowerLetter"/>
      <w:lvlText w:val="%5."/>
      <w:lvlJc w:val="left"/>
      <w:pPr>
        <w:ind w:left="3600" w:hanging="360"/>
      </w:pPr>
    </w:lvl>
    <w:lvl w:ilvl="5" w:tplc="594E8B5C">
      <w:start w:val="1"/>
      <w:numFmt w:val="lowerRoman"/>
      <w:lvlText w:val="%6."/>
      <w:lvlJc w:val="right"/>
      <w:pPr>
        <w:ind w:left="4320" w:hanging="180"/>
      </w:pPr>
    </w:lvl>
    <w:lvl w:ilvl="6" w:tplc="E946D770">
      <w:start w:val="1"/>
      <w:numFmt w:val="decimal"/>
      <w:lvlText w:val="%7."/>
      <w:lvlJc w:val="left"/>
      <w:pPr>
        <w:ind w:left="5040" w:hanging="360"/>
      </w:pPr>
    </w:lvl>
    <w:lvl w:ilvl="7" w:tplc="7A4C1208">
      <w:start w:val="1"/>
      <w:numFmt w:val="lowerLetter"/>
      <w:lvlText w:val="%8."/>
      <w:lvlJc w:val="left"/>
      <w:pPr>
        <w:ind w:left="5760" w:hanging="360"/>
      </w:pPr>
    </w:lvl>
    <w:lvl w:ilvl="8" w:tplc="1BBE8CA8">
      <w:start w:val="1"/>
      <w:numFmt w:val="lowerRoman"/>
      <w:lvlText w:val="%9."/>
      <w:lvlJc w:val="right"/>
      <w:pPr>
        <w:ind w:left="6480" w:hanging="180"/>
      </w:pPr>
    </w:lvl>
  </w:abstractNum>
  <w:abstractNum w:abstractNumId="16" w15:restartNumberingAfterBreak="0">
    <w:nsid w:val="2E687DA8"/>
    <w:multiLevelType w:val="hybridMultilevel"/>
    <w:tmpl w:val="43F45C6E"/>
    <w:lvl w:ilvl="0" w:tplc="6F28E004">
      <w:start w:val="1"/>
      <w:numFmt w:val="bullet"/>
      <w:lvlText w:val=""/>
      <w:lvlJc w:val="left"/>
      <w:pPr>
        <w:ind w:left="720" w:hanging="360"/>
      </w:pPr>
      <w:rPr>
        <w:rFonts w:ascii="Symbol" w:hAnsi="Symbol" w:hint="default"/>
      </w:rPr>
    </w:lvl>
    <w:lvl w:ilvl="1" w:tplc="892CD908">
      <w:start w:val="1"/>
      <w:numFmt w:val="bullet"/>
      <w:lvlText w:val="o"/>
      <w:lvlJc w:val="left"/>
      <w:pPr>
        <w:ind w:left="1440" w:hanging="360"/>
      </w:pPr>
      <w:rPr>
        <w:rFonts w:ascii="Courier New" w:hAnsi="Courier New" w:hint="default"/>
      </w:rPr>
    </w:lvl>
    <w:lvl w:ilvl="2" w:tplc="9FA2B934">
      <w:start w:val="1"/>
      <w:numFmt w:val="bullet"/>
      <w:lvlText w:val=""/>
      <w:lvlJc w:val="left"/>
      <w:pPr>
        <w:ind w:left="2160" w:hanging="360"/>
      </w:pPr>
      <w:rPr>
        <w:rFonts w:ascii="Wingdings" w:hAnsi="Wingdings" w:hint="default"/>
      </w:rPr>
    </w:lvl>
    <w:lvl w:ilvl="3" w:tplc="A704D0B4">
      <w:start w:val="1"/>
      <w:numFmt w:val="bullet"/>
      <w:lvlText w:val=""/>
      <w:lvlJc w:val="left"/>
      <w:pPr>
        <w:ind w:left="2880" w:hanging="360"/>
      </w:pPr>
      <w:rPr>
        <w:rFonts w:ascii="Symbol" w:hAnsi="Symbol" w:hint="default"/>
      </w:rPr>
    </w:lvl>
    <w:lvl w:ilvl="4" w:tplc="FED28536">
      <w:start w:val="1"/>
      <w:numFmt w:val="bullet"/>
      <w:lvlText w:val="o"/>
      <w:lvlJc w:val="left"/>
      <w:pPr>
        <w:ind w:left="3600" w:hanging="360"/>
      </w:pPr>
      <w:rPr>
        <w:rFonts w:ascii="Courier New" w:hAnsi="Courier New" w:hint="default"/>
      </w:rPr>
    </w:lvl>
    <w:lvl w:ilvl="5" w:tplc="035E8F44">
      <w:start w:val="1"/>
      <w:numFmt w:val="bullet"/>
      <w:lvlText w:val=""/>
      <w:lvlJc w:val="left"/>
      <w:pPr>
        <w:ind w:left="4320" w:hanging="360"/>
      </w:pPr>
      <w:rPr>
        <w:rFonts w:ascii="Wingdings" w:hAnsi="Wingdings" w:hint="default"/>
      </w:rPr>
    </w:lvl>
    <w:lvl w:ilvl="6" w:tplc="B01A819A">
      <w:start w:val="1"/>
      <w:numFmt w:val="bullet"/>
      <w:lvlText w:val=""/>
      <w:lvlJc w:val="left"/>
      <w:pPr>
        <w:ind w:left="5040" w:hanging="360"/>
      </w:pPr>
      <w:rPr>
        <w:rFonts w:ascii="Symbol" w:hAnsi="Symbol" w:hint="default"/>
      </w:rPr>
    </w:lvl>
    <w:lvl w:ilvl="7" w:tplc="7022479A">
      <w:start w:val="1"/>
      <w:numFmt w:val="bullet"/>
      <w:lvlText w:val="o"/>
      <w:lvlJc w:val="left"/>
      <w:pPr>
        <w:ind w:left="5760" w:hanging="360"/>
      </w:pPr>
      <w:rPr>
        <w:rFonts w:ascii="Courier New" w:hAnsi="Courier New" w:hint="default"/>
      </w:rPr>
    </w:lvl>
    <w:lvl w:ilvl="8" w:tplc="34341838">
      <w:start w:val="1"/>
      <w:numFmt w:val="bullet"/>
      <w:lvlText w:val=""/>
      <w:lvlJc w:val="left"/>
      <w:pPr>
        <w:ind w:left="6480" w:hanging="360"/>
      </w:pPr>
      <w:rPr>
        <w:rFonts w:ascii="Wingdings" w:hAnsi="Wingdings" w:hint="default"/>
      </w:rPr>
    </w:lvl>
  </w:abstractNum>
  <w:abstractNum w:abstractNumId="17" w15:restartNumberingAfterBreak="0">
    <w:nsid w:val="2E69D720"/>
    <w:multiLevelType w:val="hybridMultilevel"/>
    <w:tmpl w:val="4C629D60"/>
    <w:lvl w:ilvl="0" w:tplc="061CE3BE">
      <w:start w:val="1"/>
      <w:numFmt w:val="bullet"/>
      <w:lvlText w:val=""/>
      <w:lvlJc w:val="left"/>
      <w:pPr>
        <w:ind w:left="1080" w:hanging="360"/>
      </w:pPr>
      <w:rPr>
        <w:rFonts w:ascii="Symbol" w:hAnsi="Symbol" w:hint="default"/>
      </w:rPr>
    </w:lvl>
    <w:lvl w:ilvl="1" w:tplc="75C44E0E">
      <w:start w:val="1"/>
      <w:numFmt w:val="bullet"/>
      <w:lvlText w:val="o"/>
      <w:lvlJc w:val="left"/>
      <w:pPr>
        <w:ind w:left="1800" w:hanging="360"/>
      </w:pPr>
      <w:rPr>
        <w:rFonts w:ascii="Courier New" w:hAnsi="Courier New" w:cs="Times New Roman" w:hint="default"/>
      </w:rPr>
    </w:lvl>
    <w:lvl w:ilvl="2" w:tplc="D73A518A">
      <w:start w:val="1"/>
      <w:numFmt w:val="bullet"/>
      <w:lvlText w:val=""/>
      <w:lvlJc w:val="left"/>
      <w:pPr>
        <w:ind w:left="2520" w:hanging="360"/>
      </w:pPr>
      <w:rPr>
        <w:rFonts w:ascii="Wingdings" w:hAnsi="Wingdings" w:hint="default"/>
      </w:rPr>
    </w:lvl>
    <w:lvl w:ilvl="3" w:tplc="871E0DD6">
      <w:start w:val="1"/>
      <w:numFmt w:val="bullet"/>
      <w:lvlText w:val=""/>
      <w:lvlJc w:val="left"/>
      <w:pPr>
        <w:ind w:left="3240" w:hanging="360"/>
      </w:pPr>
      <w:rPr>
        <w:rFonts w:ascii="Symbol" w:hAnsi="Symbol" w:hint="default"/>
      </w:rPr>
    </w:lvl>
    <w:lvl w:ilvl="4" w:tplc="0E0E7FFC">
      <w:start w:val="1"/>
      <w:numFmt w:val="bullet"/>
      <w:lvlText w:val="o"/>
      <w:lvlJc w:val="left"/>
      <w:pPr>
        <w:ind w:left="3960" w:hanging="360"/>
      </w:pPr>
      <w:rPr>
        <w:rFonts w:ascii="Courier New" w:hAnsi="Courier New" w:cs="Times New Roman" w:hint="default"/>
      </w:rPr>
    </w:lvl>
    <w:lvl w:ilvl="5" w:tplc="4AD2F2FA">
      <w:start w:val="1"/>
      <w:numFmt w:val="bullet"/>
      <w:lvlText w:val=""/>
      <w:lvlJc w:val="left"/>
      <w:pPr>
        <w:ind w:left="4680" w:hanging="360"/>
      </w:pPr>
      <w:rPr>
        <w:rFonts w:ascii="Wingdings" w:hAnsi="Wingdings" w:hint="default"/>
      </w:rPr>
    </w:lvl>
    <w:lvl w:ilvl="6" w:tplc="1E260FF4">
      <w:start w:val="1"/>
      <w:numFmt w:val="bullet"/>
      <w:lvlText w:val=""/>
      <w:lvlJc w:val="left"/>
      <w:pPr>
        <w:ind w:left="5400" w:hanging="360"/>
      </w:pPr>
      <w:rPr>
        <w:rFonts w:ascii="Symbol" w:hAnsi="Symbol" w:hint="default"/>
      </w:rPr>
    </w:lvl>
    <w:lvl w:ilvl="7" w:tplc="69A44C58">
      <w:start w:val="1"/>
      <w:numFmt w:val="bullet"/>
      <w:lvlText w:val="o"/>
      <w:lvlJc w:val="left"/>
      <w:pPr>
        <w:ind w:left="6120" w:hanging="360"/>
      </w:pPr>
      <w:rPr>
        <w:rFonts w:ascii="Courier New" w:hAnsi="Courier New" w:cs="Times New Roman" w:hint="default"/>
      </w:rPr>
    </w:lvl>
    <w:lvl w:ilvl="8" w:tplc="195C1E94">
      <w:start w:val="1"/>
      <w:numFmt w:val="bullet"/>
      <w:lvlText w:val=""/>
      <w:lvlJc w:val="left"/>
      <w:pPr>
        <w:ind w:left="6840" w:hanging="360"/>
      </w:pPr>
      <w:rPr>
        <w:rFonts w:ascii="Wingdings" w:hAnsi="Wingdings" w:hint="default"/>
      </w:rPr>
    </w:lvl>
  </w:abstractNum>
  <w:abstractNum w:abstractNumId="18" w15:restartNumberingAfterBreak="0">
    <w:nsid w:val="3005575F"/>
    <w:multiLevelType w:val="hybridMultilevel"/>
    <w:tmpl w:val="1A581D6A"/>
    <w:lvl w:ilvl="0" w:tplc="C94281C4">
      <w:start w:val="1"/>
      <w:numFmt w:val="bullet"/>
      <w:lvlText w:val=""/>
      <w:lvlJc w:val="left"/>
      <w:pPr>
        <w:ind w:left="720" w:hanging="360"/>
      </w:pPr>
      <w:rPr>
        <w:rFonts w:ascii="Symbol" w:hAnsi="Symbol" w:hint="default"/>
      </w:rPr>
    </w:lvl>
    <w:lvl w:ilvl="1" w:tplc="C60A0048">
      <w:start w:val="1"/>
      <w:numFmt w:val="bullet"/>
      <w:lvlText w:val="o"/>
      <w:lvlJc w:val="left"/>
      <w:pPr>
        <w:ind w:left="1440" w:hanging="360"/>
      </w:pPr>
      <w:rPr>
        <w:rFonts w:ascii="Courier New" w:hAnsi="Courier New" w:hint="default"/>
      </w:rPr>
    </w:lvl>
    <w:lvl w:ilvl="2" w:tplc="0EB20416">
      <w:start w:val="1"/>
      <w:numFmt w:val="bullet"/>
      <w:lvlText w:val=""/>
      <w:lvlJc w:val="left"/>
      <w:pPr>
        <w:ind w:left="2160" w:hanging="360"/>
      </w:pPr>
      <w:rPr>
        <w:rFonts w:ascii="Wingdings" w:hAnsi="Wingdings" w:hint="default"/>
      </w:rPr>
    </w:lvl>
    <w:lvl w:ilvl="3" w:tplc="1078438C">
      <w:start w:val="1"/>
      <w:numFmt w:val="bullet"/>
      <w:lvlText w:val=""/>
      <w:lvlJc w:val="left"/>
      <w:pPr>
        <w:ind w:left="2880" w:hanging="360"/>
      </w:pPr>
      <w:rPr>
        <w:rFonts w:ascii="Symbol" w:hAnsi="Symbol" w:hint="default"/>
      </w:rPr>
    </w:lvl>
    <w:lvl w:ilvl="4" w:tplc="E3025EF2">
      <w:start w:val="1"/>
      <w:numFmt w:val="bullet"/>
      <w:lvlText w:val="o"/>
      <w:lvlJc w:val="left"/>
      <w:pPr>
        <w:ind w:left="3600" w:hanging="360"/>
      </w:pPr>
      <w:rPr>
        <w:rFonts w:ascii="Courier New" w:hAnsi="Courier New" w:hint="default"/>
      </w:rPr>
    </w:lvl>
    <w:lvl w:ilvl="5" w:tplc="D92AD48A">
      <w:start w:val="1"/>
      <w:numFmt w:val="bullet"/>
      <w:lvlText w:val=""/>
      <w:lvlJc w:val="left"/>
      <w:pPr>
        <w:ind w:left="4320" w:hanging="360"/>
      </w:pPr>
      <w:rPr>
        <w:rFonts w:ascii="Wingdings" w:hAnsi="Wingdings" w:hint="default"/>
      </w:rPr>
    </w:lvl>
    <w:lvl w:ilvl="6" w:tplc="3E0CC294">
      <w:start w:val="1"/>
      <w:numFmt w:val="bullet"/>
      <w:lvlText w:val=""/>
      <w:lvlJc w:val="left"/>
      <w:pPr>
        <w:ind w:left="5040" w:hanging="360"/>
      </w:pPr>
      <w:rPr>
        <w:rFonts w:ascii="Symbol" w:hAnsi="Symbol" w:hint="default"/>
      </w:rPr>
    </w:lvl>
    <w:lvl w:ilvl="7" w:tplc="4EDCABAC">
      <w:start w:val="1"/>
      <w:numFmt w:val="bullet"/>
      <w:lvlText w:val="o"/>
      <w:lvlJc w:val="left"/>
      <w:pPr>
        <w:ind w:left="5760" w:hanging="360"/>
      </w:pPr>
      <w:rPr>
        <w:rFonts w:ascii="Courier New" w:hAnsi="Courier New" w:hint="default"/>
      </w:rPr>
    </w:lvl>
    <w:lvl w:ilvl="8" w:tplc="60AE503A">
      <w:start w:val="1"/>
      <w:numFmt w:val="bullet"/>
      <w:lvlText w:val=""/>
      <w:lvlJc w:val="left"/>
      <w:pPr>
        <w:ind w:left="6480" w:hanging="360"/>
      </w:pPr>
      <w:rPr>
        <w:rFonts w:ascii="Wingdings" w:hAnsi="Wingdings" w:hint="default"/>
      </w:rPr>
    </w:lvl>
  </w:abstractNum>
  <w:abstractNum w:abstractNumId="19" w15:restartNumberingAfterBreak="0">
    <w:nsid w:val="3203455F"/>
    <w:multiLevelType w:val="hybridMultilevel"/>
    <w:tmpl w:val="256CE6E2"/>
    <w:lvl w:ilvl="0" w:tplc="222EC758">
      <w:start w:val="1"/>
      <w:numFmt w:val="bullet"/>
      <w:lvlText w:val=""/>
      <w:lvlJc w:val="left"/>
      <w:pPr>
        <w:ind w:left="720" w:hanging="360"/>
      </w:pPr>
      <w:rPr>
        <w:rFonts w:ascii="Symbol" w:hAnsi="Symbol" w:hint="default"/>
      </w:rPr>
    </w:lvl>
    <w:lvl w:ilvl="1" w:tplc="F27879D4">
      <w:start w:val="1"/>
      <w:numFmt w:val="bullet"/>
      <w:lvlText w:val="o"/>
      <w:lvlJc w:val="left"/>
      <w:pPr>
        <w:ind w:left="1440" w:hanging="360"/>
      </w:pPr>
      <w:rPr>
        <w:rFonts w:ascii="Courier New" w:hAnsi="Courier New" w:hint="default"/>
      </w:rPr>
    </w:lvl>
    <w:lvl w:ilvl="2" w:tplc="54E09E3E">
      <w:start w:val="1"/>
      <w:numFmt w:val="bullet"/>
      <w:lvlText w:val=""/>
      <w:lvlJc w:val="left"/>
      <w:pPr>
        <w:ind w:left="2160" w:hanging="360"/>
      </w:pPr>
      <w:rPr>
        <w:rFonts w:ascii="Wingdings" w:hAnsi="Wingdings" w:hint="default"/>
      </w:rPr>
    </w:lvl>
    <w:lvl w:ilvl="3" w:tplc="4D60B6F4">
      <w:start w:val="1"/>
      <w:numFmt w:val="bullet"/>
      <w:lvlText w:val=""/>
      <w:lvlJc w:val="left"/>
      <w:pPr>
        <w:ind w:left="2880" w:hanging="360"/>
      </w:pPr>
      <w:rPr>
        <w:rFonts w:ascii="Symbol" w:hAnsi="Symbol" w:hint="default"/>
      </w:rPr>
    </w:lvl>
    <w:lvl w:ilvl="4" w:tplc="30BC16DE">
      <w:start w:val="1"/>
      <w:numFmt w:val="bullet"/>
      <w:lvlText w:val="o"/>
      <w:lvlJc w:val="left"/>
      <w:pPr>
        <w:ind w:left="3600" w:hanging="360"/>
      </w:pPr>
      <w:rPr>
        <w:rFonts w:ascii="Courier New" w:hAnsi="Courier New" w:hint="default"/>
      </w:rPr>
    </w:lvl>
    <w:lvl w:ilvl="5" w:tplc="A42EF2EC">
      <w:start w:val="1"/>
      <w:numFmt w:val="bullet"/>
      <w:lvlText w:val=""/>
      <w:lvlJc w:val="left"/>
      <w:pPr>
        <w:ind w:left="4320" w:hanging="360"/>
      </w:pPr>
      <w:rPr>
        <w:rFonts w:ascii="Wingdings" w:hAnsi="Wingdings" w:hint="default"/>
      </w:rPr>
    </w:lvl>
    <w:lvl w:ilvl="6" w:tplc="DF76732A">
      <w:start w:val="1"/>
      <w:numFmt w:val="bullet"/>
      <w:lvlText w:val=""/>
      <w:lvlJc w:val="left"/>
      <w:pPr>
        <w:ind w:left="5040" w:hanging="360"/>
      </w:pPr>
      <w:rPr>
        <w:rFonts w:ascii="Symbol" w:hAnsi="Symbol" w:hint="default"/>
      </w:rPr>
    </w:lvl>
    <w:lvl w:ilvl="7" w:tplc="A3FC69AE">
      <w:start w:val="1"/>
      <w:numFmt w:val="bullet"/>
      <w:lvlText w:val="o"/>
      <w:lvlJc w:val="left"/>
      <w:pPr>
        <w:ind w:left="5760" w:hanging="360"/>
      </w:pPr>
      <w:rPr>
        <w:rFonts w:ascii="Courier New" w:hAnsi="Courier New" w:hint="default"/>
      </w:rPr>
    </w:lvl>
    <w:lvl w:ilvl="8" w:tplc="9CDC3428">
      <w:start w:val="1"/>
      <w:numFmt w:val="bullet"/>
      <w:lvlText w:val=""/>
      <w:lvlJc w:val="left"/>
      <w:pPr>
        <w:ind w:left="6480" w:hanging="360"/>
      </w:pPr>
      <w:rPr>
        <w:rFonts w:ascii="Wingdings" w:hAnsi="Wingdings" w:hint="default"/>
      </w:rPr>
    </w:lvl>
  </w:abstractNum>
  <w:abstractNum w:abstractNumId="20" w15:restartNumberingAfterBreak="0">
    <w:nsid w:val="364701E2"/>
    <w:multiLevelType w:val="hybridMultilevel"/>
    <w:tmpl w:val="E83E339C"/>
    <w:lvl w:ilvl="0" w:tplc="FFFFFFFF">
      <w:start w:val="1"/>
      <w:numFmt w:val="decimal"/>
      <w:lvlText w:val="%1."/>
      <w:lvlJc w:val="left"/>
      <w:pPr>
        <w:ind w:left="720" w:hanging="360"/>
      </w:pPr>
      <w:rPr>
        <w:rFonts w:hint="default"/>
        <w:b/>
        <w:bCs/>
      </w:rPr>
    </w:lvl>
    <w:lvl w:ilvl="1" w:tplc="5C36E436">
      <w:start w:val="1"/>
      <w:numFmt w:val="lowerLetter"/>
      <w:lvlText w:val="%2."/>
      <w:lvlJc w:val="left"/>
      <w:pPr>
        <w:ind w:left="1440" w:hanging="360"/>
      </w:pPr>
      <w:rPr>
        <w:color w:val="auto"/>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1" w15:restartNumberingAfterBreak="0">
    <w:nsid w:val="3CBBD04A"/>
    <w:multiLevelType w:val="hybridMultilevel"/>
    <w:tmpl w:val="2FF0529A"/>
    <w:lvl w:ilvl="0" w:tplc="4EE4D7FE">
      <w:start w:val="1"/>
      <w:numFmt w:val="bullet"/>
      <w:lvlText w:val=""/>
      <w:lvlJc w:val="left"/>
      <w:pPr>
        <w:ind w:left="720" w:hanging="360"/>
      </w:pPr>
      <w:rPr>
        <w:rFonts w:ascii="Symbol" w:hAnsi="Symbol" w:hint="default"/>
      </w:rPr>
    </w:lvl>
    <w:lvl w:ilvl="1" w:tplc="E1AAB4F2">
      <w:start w:val="1"/>
      <w:numFmt w:val="bullet"/>
      <w:lvlText w:val="o"/>
      <w:lvlJc w:val="left"/>
      <w:pPr>
        <w:ind w:left="1440" w:hanging="360"/>
      </w:pPr>
      <w:rPr>
        <w:rFonts w:ascii="Courier New" w:hAnsi="Courier New" w:hint="default"/>
      </w:rPr>
    </w:lvl>
    <w:lvl w:ilvl="2" w:tplc="37F414AE">
      <w:start w:val="1"/>
      <w:numFmt w:val="bullet"/>
      <w:lvlText w:val=""/>
      <w:lvlJc w:val="left"/>
      <w:pPr>
        <w:ind w:left="2160" w:hanging="360"/>
      </w:pPr>
      <w:rPr>
        <w:rFonts w:ascii="Wingdings" w:hAnsi="Wingdings" w:hint="default"/>
      </w:rPr>
    </w:lvl>
    <w:lvl w:ilvl="3" w:tplc="CDACDEF8">
      <w:start w:val="1"/>
      <w:numFmt w:val="bullet"/>
      <w:lvlText w:val=""/>
      <w:lvlJc w:val="left"/>
      <w:pPr>
        <w:ind w:left="2880" w:hanging="360"/>
      </w:pPr>
      <w:rPr>
        <w:rFonts w:ascii="Symbol" w:hAnsi="Symbol" w:hint="default"/>
      </w:rPr>
    </w:lvl>
    <w:lvl w:ilvl="4" w:tplc="525ACF2C">
      <w:start w:val="1"/>
      <w:numFmt w:val="bullet"/>
      <w:lvlText w:val="o"/>
      <w:lvlJc w:val="left"/>
      <w:pPr>
        <w:ind w:left="3600" w:hanging="360"/>
      </w:pPr>
      <w:rPr>
        <w:rFonts w:ascii="Courier New" w:hAnsi="Courier New" w:hint="default"/>
      </w:rPr>
    </w:lvl>
    <w:lvl w:ilvl="5" w:tplc="4E64C05E">
      <w:start w:val="1"/>
      <w:numFmt w:val="bullet"/>
      <w:lvlText w:val=""/>
      <w:lvlJc w:val="left"/>
      <w:pPr>
        <w:ind w:left="4320" w:hanging="360"/>
      </w:pPr>
      <w:rPr>
        <w:rFonts w:ascii="Wingdings" w:hAnsi="Wingdings" w:hint="default"/>
      </w:rPr>
    </w:lvl>
    <w:lvl w:ilvl="6" w:tplc="596880D4">
      <w:start w:val="1"/>
      <w:numFmt w:val="bullet"/>
      <w:lvlText w:val=""/>
      <w:lvlJc w:val="left"/>
      <w:pPr>
        <w:ind w:left="5040" w:hanging="360"/>
      </w:pPr>
      <w:rPr>
        <w:rFonts w:ascii="Symbol" w:hAnsi="Symbol" w:hint="default"/>
      </w:rPr>
    </w:lvl>
    <w:lvl w:ilvl="7" w:tplc="ACF6CC4E">
      <w:start w:val="1"/>
      <w:numFmt w:val="bullet"/>
      <w:lvlText w:val="o"/>
      <w:lvlJc w:val="left"/>
      <w:pPr>
        <w:ind w:left="5760" w:hanging="360"/>
      </w:pPr>
      <w:rPr>
        <w:rFonts w:ascii="Courier New" w:hAnsi="Courier New" w:hint="default"/>
      </w:rPr>
    </w:lvl>
    <w:lvl w:ilvl="8" w:tplc="63CC1360">
      <w:start w:val="1"/>
      <w:numFmt w:val="bullet"/>
      <w:lvlText w:val=""/>
      <w:lvlJc w:val="left"/>
      <w:pPr>
        <w:ind w:left="6480" w:hanging="360"/>
      </w:pPr>
      <w:rPr>
        <w:rFonts w:ascii="Wingdings" w:hAnsi="Wingdings" w:hint="default"/>
      </w:rPr>
    </w:lvl>
  </w:abstractNum>
  <w:abstractNum w:abstractNumId="22" w15:restartNumberingAfterBreak="0">
    <w:nsid w:val="40233E87"/>
    <w:multiLevelType w:val="hybridMultilevel"/>
    <w:tmpl w:val="3196C5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359004F"/>
    <w:multiLevelType w:val="hybridMultilevel"/>
    <w:tmpl w:val="B15E03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5A144D"/>
    <w:multiLevelType w:val="hybridMultilevel"/>
    <w:tmpl w:val="C91CEC4A"/>
    <w:lvl w:ilvl="0" w:tplc="6792CF18">
      <w:start w:val="1"/>
      <w:numFmt w:val="bullet"/>
      <w:lvlText w:val=""/>
      <w:lvlJc w:val="left"/>
      <w:pPr>
        <w:ind w:left="1080" w:hanging="360"/>
      </w:pPr>
      <w:rPr>
        <w:rFonts w:ascii="Symbol" w:hAnsi="Symbol" w:hint="default"/>
      </w:rPr>
    </w:lvl>
    <w:lvl w:ilvl="1" w:tplc="7EF8859A">
      <w:start w:val="1"/>
      <w:numFmt w:val="bullet"/>
      <w:lvlText w:val="o"/>
      <w:lvlJc w:val="left"/>
      <w:pPr>
        <w:ind w:left="1800" w:hanging="360"/>
      </w:pPr>
      <w:rPr>
        <w:rFonts w:ascii="Courier New" w:hAnsi="Courier New" w:hint="default"/>
      </w:rPr>
    </w:lvl>
    <w:lvl w:ilvl="2" w:tplc="DDFCB5E2">
      <w:start w:val="1"/>
      <w:numFmt w:val="bullet"/>
      <w:lvlText w:val=""/>
      <w:lvlJc w:val="left"/>
      <w:pPr>
        <w:ind w:left="2520" w:hanging="360"/>
      </w:pPr>
      <w:rPr>
        <w:rFonts w:ascii="Wingdings" w:hAnsi="Wingdings" w:hint="default"/>
      </w:rPr>
    </w:lvl>
    <w:lvl w:ilvl="3" w:tplc="4D784F46">
      <w:start w:val="1"/>
      <w:numFmt w:val="bullet"/>
      <w:lvlText w:val=""/>
      <w:lvlJc w:val="left"/>
      <w:pPr>
        <w:ind w:left="3240" w:hanging="360"/>
      </w:pPr>
      <w:rPr>
        <w:rFonts w:ascii="Symbol" w:hAnsi="Symbol" w:hint="default"/>
      </w:rPr>
    </w:lvl>
    <w:lvl w:ilvl="4" w:tplc="7EEEF952">
      <w:start w:val="1"/>
      <w:numFmt w:val="bullet"/>
      <w:lvlText w:val="o"/>
      <w:lvlJc w:val="left"/>
      <w:pPr>
        <w:ind w:left="3960" w:hanging="360"/>
      </w:pPr>
      <w:rPr>
        <w:rFonts w:ascii="Courier New" w:hAnsi="Courier New" w:hint="default"/>
      </w:rPr>
    </w:lvl>
    <w:lvl w:ilvl="5" w:tplc="78AA98CC">
      <w:start w:val="1"/>
      <w:numFmt w:val="bullet"/>
      <w:lvlText w:val=""/>
      <w:lvlJc w:val="left"/>
      <w:pPr>
        <w:ind w:left="4680" w:hanging="360"/>
      </w:pPr>
      <w:rPr>
        <w:rFonts w:ascii="Wingdings" w:hAnsi="Wingdings" w:hint="default"/>
      </w:rPr>
    </w:lvl>
    <w:lvl w:ilvl="6" w:tplc="6DDC2D6A">
      <w:start w:val="1"/>
      <w:numFmt w:val="bullet"/>
      <w:lvlText w:val=""/>
      <w:lvlJc w:val="left"/>
      <w:pPr>
        <w:ind w:left="5400" w:hanging="360"/>
      </w:pPr>
      <w:rPr>
        <w:rFonts w:ascii="Symbol" w:hAnsi="Symbol" w:hint="default"/>
      </w:rPr>
    </w:lvl>
    <w:lvl w:ilvl="7" w:tplc="C53E6500">
      <w:start w:val="1"/>
      <w:numFmt w:val="bullet"/>
      <w:lvlText w:val="o"/>
      <w:lvlJc w:val="left"/>
      <w:pPr>
        <w:ind w:left="6120" w:hanging="360"/>
      </w:pPr>
      <w:rPr>
        <w:rFonts w:ascii="Courier New" w:hAnsi="Courier New" w:hint="default"/>
      </w:rPr>
    </w:lvl>
    <w:lvl w:ilvl="8" w:tplc="26F6FCA4">
      <w:start w:val="1"/>
      <w:numFmt w:val="bullet"/>
      <w:lvlText w:val=""/>
      <w:lvlJc w:val="left"/>
      <w:pPr>
        <w:ind w:left="6840" w:hanging="360"/>
      </w:pPr>
      <w:rPr>
        <w:rFonts w:ascii="Wingdings" w:hAnsi="Wingdings" w:hint="default"/>
      </w:rPr>
    </w:lvl>
  </w:abstractNum>
  <w:abstractNum w:abstractNumId="25" w15:restartNumberingAfterBreak="0">
    <w:nsid w:val="4C75B0D2"/>
    <w:multiLevelType w:val="hybridMultilevel"/>
    <w:tmpl w:val="FB3CF326"/>
    <w:lvl w:ilvl="0" w:tplc="A2868D1C">
      <w:start w:val="1"/>
      <w:numFmt w:val="bullet"/>
      <w:lvlText w:val=""/>
      <w:lvlJc w:val="left"/>
      <w:pPr>
        <w:ind w:left="720" w:hanging="360"/>
      </w:pPr>
      <w:rPr>
        <w:rFonts w:ascii="Symbol" w:hAnsi="Symbol" w:hint="default"/>
      </w:rPr>
    </w:lvl>
    <w:lvl w:ilvl="1" w:tplc="020C08C0">
      <w:start w:val="1"/>
      <w:numFmt w:val="bullet"/>
      <w:lvlText w:val="o"/>
      <w:lvlJc w:val="left"/>
      <w:pPr>
        <w:ind w:left="1440" w:hanging="360"/>
      </w:pPr>
      <w:rPr>
        <w:rFonts w:ascii="Courier New" w:hAnsi="Courier New" w:hint="default"/>
      </w:rPr>
    </w:lvl>
    <w:lvl w:ilvl="2" w:tplc="ECE0E864">
      <w:start w:val="1"/>
      <w:numFmt w:val="bullet"/>
      <w:lvlText w:val=""/>
      <w:lvlJc w:val="left"/>
      <w:pPr>
        <w:ind w:left="2160" w:hanging="360"/>
      </w:pPr>
      <w:rPr>
        <w:rFonts w:ascii="Wingdings" w:hAnsi="Wingdings" w:hint="default"/>
      </w:rPr>
    </w:lvl>
    <w:lvl w:ilvl="3" w:tplc="FFC23D4C">
      <w:start w:val="1"/>
      <w:numFmt w:val="bullet"/>
      <w:lvlText w:val=""/>
      <w:lvlJc w:val="left"/>
      <w:pPr>
        <w:ind w:left="2880" w:hanging="360"/>
      </w:pPr>
      <w:rPr>
        <w:rFonts w:ascii="Symbol" w:hAnsi="Symbol" w:hint="default"/>
      </w:rPr>
    </w:lvl>
    <w:lvl w:ilvl="4" w:tplc="F78A2688">
      <w:start w:val="1"/>
      <w:numFmt w:val="bullet"/>
      <w:lvlText w:val="o"/>
      <w:lvlJc w:val="left"/>
      <w:pPr>
        <w:ind w:left="3600" w:hanging="360"/>
      </w:pPr>
      <w:rPr>
        <w:rFonts w:ascii="Courier New" w:hAnsi="Courier New" w:hint="default"/>
      </w:rPr>
    </w:lvl>
    <w:lvl w:ilvl="5" w:tplc="BCE07242">
      <w:start w:val="1"/>
      <w:numFmt w:val="bullet"/>
      <w:lvlText w:val=""/>
      <w:lvlJc w:val="left"/>
      <w:pPr>
        <w:ind w:left="4320" w:hanging="360"/>
      </w:pPr>
      <w:rPr>
        <w:rFonts w:ascii="Wingdings" w:hAnsi="Wingdings" w:hint="default"/>
      </w:rPr>
    </w:lvl>
    <w:lvl w:ilvl="6" w:tplc="DE38882A">
      <w:start w:val="1"/>
      <w:numFmt w:val="bullet"/>
      <w:lvlText w:val=""/>
      <w:lvlJc w:val="left"/>
      <w:pPr>
        <w:ind w:left="5040" w:hanging="360"/>
      </w:pPr>
      <w:rPr>
        <w:rFonts w:ascii="Symbol" w:hAnsi="Symbol" w:hint="default"/>
      </w:rPr>
    </w:lvl>
    <w:lvl w:ilvl="7" w:tplc="20409C9C">
      <w:start w:val="1"/>
      <w:numFmt w:val="bullet"/>
      <w:lvlText w:val="o"/>
      <w:lvlJc w:val="left"/>
      <w:pPr>
        <w:ind w:left="5760" w:hanging="360"/>
      </w:pPr>
      <w:rPr>
        <w:rFonts w:ascii="Courier New" w:hAnsi="Courier New" w:hint="default"/>
      </w:rPr>
    </w:lvl>
    <w:lvl w:ilvl="8" w:tplc="78FCB5E8">
      <w:start w:val="1"/>
      <w:numFmt w:val="bullet"/>
      <w:lvlText w:val=""/>
      <w:lvlJc w:val="left"/>
      <w:pPr>
        <w:ind w:left="6480" w:hanging="360"/>
      </w:pPr>
      <w:rPr>
        <w:rFonts w:ascii="Wingdings" w:hAnsi="Wingdings" w:hint="default"/>
      </w:rPr>
    </w:lvl>
  </w:abstractNum>
  <w:abstractNum w:abstractNumId="26" w15:restartNumberingAfterBreak="0">
    <w:nsid w:val="4F496D18"/>
    <w:multiLevelType w:val="hybridMultilevel"/>
    <w:tmpl w:val="02EC84A6"/>
    <w:lvl w:ilvl="0" w:tplc="04100003">
      <w:start w:val="1"/>
      <w:numFmt w:val="bullet"/>
      <w:lvlText w:val="o"/>
      <w:lvlJc w:val="left"/>
      <w:pPr>
        <w:ind w:left="1080" w:hanging="360"/>
      </w:pPr>
      <w:rPr>
        <w:rFonts w:ascii="Courier New" w:hAnsi="Courier New" w:cs="Courier New" w:hint="default"/>
      </w:rPr>
    </w:lvl>
    <w:lvl w:ilvl="1" w:tplc="FFFFFFFF">
      <w:start w:val="1"/>
      <w:numFmt w:val="bullet"/>
      <w:lvlText w:val="o"/>
      <w:lvlJc w:val="left"/>
      <w:pPr>
        <w:ind w:left="1800" w:hanging="360"/>
      </w:pPr>
      <w:rPr>
        <w:rFonts w:ascii="Courier New" w:hAnsi="Courier New" w:cs="Times New Roman"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cs="Times New Roman" w:hint="default"/>
      </w:rPr>
    </w:lvl>
    <w:lvl w:ilvl="5" w:tplc="FFFFFFFF">
      <w:start w:val="1"/>
      <w:numFmt w:val="bullet"/>
      <w:lvlText w:val=""/>
      <w:lvlJc w:val="left"/>
      <w:pPr>
        <w:ind w:left="4680" w:hanging="360"/>
      </w:pPr>
      <w:rPr>
        <w:rFonts w:ascii="Wingdings" w:hAnsi="Wingdings" w:hint="default"/>
      </w:rPr>
    </w:lvl>
    <w:lvl w:ilvl="6" w:tplc="FFFFFFFF">
      <w:start w:val="1"/>
      <w:numFmt w:val="bullet"/>
      <w:lvlText w:val=""/>
      <w:lvlJc w:val="left"/>
      <w:pPr>
        <w:ind w:left="5400" w:hanging="360"/>
      </w:pPr>
      <w:rPr>
        <w:rFonts w:ascii="Symbol" w:hAnsi="Symbol" w:hint="default"/>
      </w:rPr>
    </w:lvl>
    <w:lvl w:ilvl="7" w:tplc="FFFFFFFF">
      <w:start w:val="1"/>
      <w:numFmt w:val="bullet"/>
      <w:lvlText w:val="o"/>
      <w:lvlJc w:val="left"/>
      <w:pPr>
        <w:ind w:left="6120" w:hanging="360"/>
      </w:pPr>
      <w:rPr>
        <w:rFonts w:ascii="Courier New" w:hAnsi="Courier New" w:cs="Times New Roman" w:hint="default"/>
      </w:rPr>
    </w:lvl>
    <w:lvl w:ilvl="8" w:tplc="FFFFFFFF">
      <w:start w:val="1"/>
      <w:numFmt w:val="bullet"/>
      <w:lvlText w:val=""/>
      <w:lvlJc w:val="left"/>
      <w:pPr>
        <w:ind w:left="6840" w:hanging="360"/>
      </w:pPr>
      <w:rPr>
        <w:rFonts w:ascii="Wingdings" w:hAnsi="Wingdings" w:hint="default"/>
      </w:rPr>
    </w:lvl>
  </w:abstractNum>
  <w:abstractNum w:abstractNumId="27" w15:restartNumberingAfterBreak="0">
    <w:nsid w:val="553B3D42"/>
    <w:multiLevelType w:val="hybridMultilevel"/>
    <w:tmpl w:val="8D3CC6D4"/>
    <w:lvl w:ilvl="0" w:tplc="537E71B8">
      <w:start w:val="1"/>
      <w:numFmt w:val="bullet"/>
      <w:lvlText w:val=""/>
      <w:lvlJc w:val="left"/>
      <w:pPr>
        <w:ind w:left="720" w:hanging="360"/>
      </w:pPr>
      <w:rPr>
        <w:rFonts w:ascii="Symbol" w:hAnsi="Symbol" w:hint="default"/>
      </w:rPr>
    </w:lvl>
    <w:lvl w:ilvl="1" w:tplc="149C0504">
      <w:start w:val="1"/>
      <w:numFmt w:val="bullet"/>
      <w:lvlText w:val="o"/>
      <w:lvlJc w:val="left"/>
      <w:pPr>
        <w:ind w:left="1440" w:hanging="360"/>
      </w:pPr>
      <w:rPr>
        <w:rFonts w:ascii="Courier New" w:hAnsi="Courier New" w:cs="Times New Roman" w:hint="default"/>
      </w:rPr>
    </w:lvl>
    <w:lvl w:ilvl="2" w:tplc="D69013BE">
      <w:start w:val="1"/>
      <w:numFmt w:val="bullet"/>
      <w:lvlText w:val=""/>
      <w:lvlJc w:val="left"/>
      <w:pPr>
        <w:ind w:left="2160" w:hanging="360"/>
      </w:pPr>
      <w:rPr>
        <w:rFonts w:ascii="Wingdings" w:hAnsi="Wingdings" w:hint="default"/>
      </w:rPr>
    </w:lvl>
    <w:lvl w:ilvl="3" w:tplc="C9BE3BA0">
      <w:start w:val="1"/>
      <w:numFmt w:val="bullet"/>
      <w:lvlText w:val=""/>
      <w:lvlJc w:val="left"/>
      <w:pPr>
        <w:ind w:left="2880" w:hanging="360"/>
      </w:pPr>
      <w:rPr>
        <w:rFonts w:ascii="Symbol" w:hAnsi="Symbol" w:hint="default"/>
      </w:rPr>
    </w:lvl>
    <w:lvl w:ilvl="4" w:tplc="F87C6E8C">
      <w:start w:val="1"/>
      <w:numFmt w:val="bullet"/>
      <w:lvlText w:val="o"/>
      <w:lvlJc w:val="left"/>
      <w:pPr>
        <w:ind w:left="3600" w:hanging="360"/>
      </w:pPr>
      <w:rPr>
        <w:rFonts w:ascii="Courier New" w:hAnsi="Courier New" w:cs="Times New Roman" w:hint="default"/>
      </w:rPr>
    </w:lvl>
    <w:lvl w:ilvl="5" w:tplc="722EB3C0">
      <w:start w:val="1"/>
      <w:numFmt w:val="bullet"/>
      <w:lvlText w:val=""/>
      <w:lvlJc w:val="left"/>
      <w:pPr>
        <w:ind w:left="4320" w:hanging="360"/>
      </w:pPr>
      <w:rPr>
        <w:rFonts w:ascii="Wingdings" w:hAnsi="Wingdings" w:hint="default"/>
      </w:rPr>
    </w:lvl>
    <w:lvl w:ilvl="6" w:tplc="5CEAFA9A">
      <w:start w:val="1"/>
      <w:numFmt w:val="bullet"/>
      <w:lvlText w:val=""/>
      <w:lvlJc w:val="left"/>
      <w:pPr>
        <w:ind w:left="5040" w:hanging="360"/>
      </w:pPr>
      <w:rPr>
        <w:rFonts w:ascii="Symbol" w:hAnsi="Symbol" w:hint="default"/>
      </w:rPr>
    </w:lvl>
    <w:lvl w:ilvl="7" w:tplc="67442ED4">
      <w:start w:val="1"/>
      <w:numFmt w:val="bullet"/>
      <w:lvlText w:val="o"/>
      <w:lvlJc w:val="left"/>
      <w:pPr>
        <w:ind w:left="5760" w:hanging="360"/>
      </w:pPr>
      <w:rPr>
        <w:rFonts w:ascii="Courier New" w:hAnsi="Courier New" w:cs="Times New Roman" w:hint="default"/>
      </w:rPr>
    </w:lvl>
    <w:lvl w:ilvl="8" w:tplc="E206AFFA">
      <w:start w:val="1"/>
      <w:numFmt w:val="bullet"/>
      <w:lvlText w:val=""/>
      <w:lvlJc w:val="left"/>
      <w:pPr>
        <w:ind w:left="6480" w:hanging="360"/>
      </w:pPr>
      <w:rPr>
        <w:rFonts w:ascii="Wingdings" w:hAnsi="Wingdings" w:hint="default"/>
      </w:rPr>
    </w:lvl>
  </w:abstractNum>
  <w:abstractNum w:abstractNumId="28" w15:restartNumberingAfterBreak="0">
    <w:nsid w:val="55492765"/>
    <w:multiLevelType w:val="hybridMultilevel"/>
    <w:tmpl w:val="969C6E4C"/>
    <w:lvl w:ilvl="0" w:tplc="CACA587E">
      <w:start w:val="1"/>
      <w:numFmt w:val="bullet"/>
      <w:lvlText w:val=""/>
      <w:lvlJc w:val="left"/>
      <w:pPr>
        <w:ind w:left="332" w:hanging="360"/>
      </w:pPr>
      <w:rPr>
        <w:rFonts w:ascii="Symbol" w:hAnsi="Symbol" w:hint="default"/>
        <w:color w:val="auto"/>
      </w:rPr>
    </w:lvl>
    <w:lvl w:ilvl="1" w:tplc="04090003" w:tentative="1">
      <w:start w:val="1"/>
      <w:numFmt w:val="bullet"/>
      <w:lvlText w:val="o"/>
      <w:lvlJc w:val="left"/>
      <w:pPr>
        <w:ind w:left="1426" w:hanging="360"/>
      </w:pPr>
      <w:rPr>
        <w:rFonts w:ascii="Courier New" w:hAnsi="Courier New" w:cs="Courier New" w:hint="default"/>
      </w:rPr>
    </w:lvl>
    <w:lvl w:ilvl="2" w:tplc="04090005" w:tentative="1">
      <w:start w:val="1"/>
      <w:numFmt w:val="bullet"/>
      <w:lvlText w:val=""/>
      <w:lvlJc w:val="left"/>
      <w:pPr>
        <w:ind w:left="2146" w:hanging="360"/>
      </w:pPr>
      <w:rPr>
        <w:rFonts w:ascii="Wingdings" w:hAnsi="Wingdings" w:hint="default"/>
      </w:rPr>
    </w:lvl>
    <w:lvl w:ilvl="3" w:tplc="04090001" w:tentative="1">
      <w:start w:val="1"/>
      <w:numFmt w:val="bullet"/>
      <w:lvlText w:val=""/>
      <w:lvlJc w:val="left"/>
      <w:pPr>
        <w:ind w:left="2866" w:hanging="360"/>
      </w:pPr>
      <w:rPr>
        <w:rFonts w:ascii="Symbol" w:hAnsi="Symbol" w:hint="default"/>
      </w:rPr>
    </w:lvl>
    <w:lvl w:ilvl="4" w:tplc="04090003" w:tentative="1">
      <w:start w:val="1"/>
      <w:numFmt w:val="bullet"/>
      <w:lvlText w:val="o"/>
      <w:lvlJc w:val="left"/>
      <w:pPr>
        <w:ind w:left="3586" w:hanging="360"/>
      </w:pPr>
      <w:rPr>
        <w:rFonts w:ascii="Courier New" w:hAnsi="Courier New" w:cs="Courier New" w:hint="default"/>
      </w:rPr>
    </w:lvl>
    <w:lvl w:ilvl="5" w:tplc="04090005" w:tentative="1">
      <w:start w:val="1"/>
      <w:numFmt w:val="bullet"/>
      <w:lvlText w:val=""/>
      <w:lvlJc w:val="left"/>
      <w:pPr>
        <w:ind w:left="4306" w:hanging="360"/>
      </w:pPr>
      <w:rPr>
        <w:rFonts w:ascii="Wingdings" w:hAnsi="Wingdings" w:hint="default"/>
      </w:rPr>
    </w:lvl>
    <w:lvl w:ilvl="6" w:tplc="04090001" w:tentative="1">
      <w:start w:val="1"/>
      <w:numFmt w:val="bullet"/>
      <w:lvlText w:val=""/>
      <w:lvlJc w:val="left"/>
      <w:pPr>
        <w:ind w:left="5026" w:hanging="360"/>
      </w:pPr>
      <w:rPr>
        <w:rFonts w:ascii="Symbol" w:hAnsi="Symbol" w:hint="default"/>
      </w:rPr>
    </w:lvl>
    <w:lvl w:ilvl="7" w:tplc="04090003" w:tentative="1">
      <w:start w:val="1"/>
      <w:numFmt w:val="bullet"/>
      <w:lvlText w:val="o"/>
      <w:lvlJc w:val="left"/>
      <w:pPr>
        <w:ind w:left="5746" w:hanging="360"/>
      </w:pPr>
      <w:rPr>
        <w:rFonts w:ascii="Courier New" w:hAnsi="Courier New" w:cs="Courier New" w:hint="default"/>
      </w:rPr>
    </w:lvl>
    <w:lvl w:ilvl="8" w:tplc="04090005" w:tentative="1">
      <w:start w:val="1"/>
      <w:numFmt w:val="bullet"/>
      <w:lvlText w:val=""/>
      <w:lvlJc w:val="left"/>
      <w:pPr>
        <w:ind w:left="6466" w:hanging="360"/>
      </w:pPr>
      <w:rPr>
        <w:rFonts w:ascii="Wingdings" w:hAnsi="Wingdings" w:hint="default"/>
      </w:rPr>
    </w:lvl>
  </w:abstractNum>
  <w:abstractNum w:abstractNumId="29" w15:restartNumberingAfterBreak="0">
    <w:nsid w:val="5664D94D"/>
    <w:multiLevelType w:val="hybridMultilevel"/>
    <w:tmpl w:val="03AAF0CC"/>
    <w:lvl w:ilvl="0" w:tplc="6FD4B9D4">
      <w:start w:val="1"/>
      <w:numFmt w:val="bullet"/>
      <w:lvlText w:val=""/>
      <w:lvlJc w:val="left"/>
      <w:pPr>
        <w:ind w:left="720" w:hanging="360"/>
      </w:pPr>
      <w:rPr>
        <w:rFonts w:ascii="Symbol" w:hAnsi="Symbol" w:hint="default"/>
      </w:rPr>
    </w:lvl>
    <w:lvl w:ilvl="1" w:tplc="95068D7A">
      <w:start w:val="1"/>
      <w:numFmt w:val="bullet"/>
      <w:lvlText w:val="o"/>
      <w:lvlJc w:val="left"/>
      <w:pPr>
        <w:ind w:left="1440" w:hanging="360"/>
      </w:pPr>
      <w:rPr>
        <w:rFonts w:ascii="Courier New" w:hAnsi="Courier New" w:hint="default"/>
      </w:rPr>
    </w:lvl>
    <w:lvl w:ilvl="2" w:tplc="28D4A726">
      <w:start w:val="1"/>
      <w:numFmt w:val="bullet"/>
      <w:lvlText w:val=""/>
      <w:lvlJc w:val="left"/>
      <w:pPr>
        <w:ind w:left="2160" w:hanging="360"/>
      </w:pPr>
      <w:rPr>
        <w:rFonts w:ascii="Wingdings" w:hAnsi="Wingdings" w:hint="default"/>
      </w:rPr>
    </w:lvl>
    <w:lvl w:ilvl="3" w:tplc="0FE4217A">
      <w:start w:val="1"/>
      <w:numFmt w:val="bullet"/>
      <w:lvlText w:val=""/>
      <w:lvlJc w:val="left"/>
      <w:pPr>
        <w:ind w:left="2880" w:hanging="360"/>
      </w:pPr>
      <w:rPr>
        <w:rFonts w:ascii="Symbol" w:hAnsi="Symbol" w:hint="default"/>
      </w:rPr>
    </w:lvl>
    <w:lvl w:ilvl="4" w:tplc="A35688C2">
      <w:start w:val="1"/>
      <w:numFmt w:val="bullet"/>
      <w:lvlText w:val="o"/>
      <w:lvlJc w:val="left"/>
      <w:pPr>
        <w:ind w:left="3600" w:hanging="360"/>
      </w:pPr>
      <w:rPr>
        <w:rFonts w:ascii="Courier New" w:hAnsi="Courier New" w:hint="default"/>
      </w:rPr>
    </w:lvl>
    <w:lvl w:ilvl="5" w:tplc="05A263FE">
      <w:start w:val="1"/>
      <w:numFmt w:val="bullet"/>
      <w:lvlText w:val=""/>
      <w:lvlJc w:val="left"/>
      <w:pPr>
        <w:ind w:left="4320" w:hanging="360"/>
      </w:pPr>
      <w:rPr>
        <w:rFonts w:ascii="Wingdings" w:hAnsi="Wingdings" w:hint="default"/>
      </w:rPr>
    </w:lvl>
    <w:lvl w:ilvl="6" w:tplc="7D20AF74">
      <w:start w:val="1"/>
      <w:numFmt w:val="bullet"/>
      <w:lvlText w:val=""/>
      <w:lvlJc w:val="left"/>
      <w:pPr>
        <w:ind w:left="5040" w:hanging="360"/>
      </w:pPr>
      <w:rPr>
        <w:rFonts w:ascii="Symbol" w:hAnsi="Symbol" w:hint="default"/>
      </w:rPr>
    </w:lvl>
    <w:lvl w:ilvl="7" w:tplc="976691B2">
      <w:start w:val="1"/>
      <w:numFmt w:val="bullet"/>
      <w:lvlText w:val="o"/>
      <w:lvlJc w:val="left"/>
      <w:pPr>
        <w:ind w:left="5760" w:hanging="360"/>
      </w:pPr>
      <w:rPr>
        <w:rFonts w:ascii="Courier New" w:hAnsi="Courier New" w:hint="default"/>
      </w:rPr>
    </w:lvl>
    <w:lvl w:ilvl="8" w:tplc="D76E553A">
      <w:start w:val="1"/>
      <w:numFmt w:val="bullet"/>
      <w:lvlText w:val=""/>
      <w:lvlJc w:val="left"/>
      <w:pPr>
        <w:ind w:left="6480" w:hanging="360"/>
      </w:pPr>
      <w:rPr>
        <w:rFonts w:ascii="Wingdings" w:hAnsi="Wingdings" w:hint="default"/>
      </w:rPr>
    </w:lvl>
  </w:abstractNum>
  <w:abstractNum w:abstractNumId="30" w15:restartNumberingAfterBreak="0">
    <w:nsid w:val="58FA62EC"/>
    <w:multiLevelType w:val="hybridMultilevel"/>
    <w:tmpl w:val="6BFC2CC2"/>
    <w:lvl w:ilvl="0" w:tplc="5CA8EC54">
      <w:start w:val="1"/>
      <w:numFmt w:val="bullet"/>
      <w:lvlText w:val=""/>
      <w:lvlJc w:val="left"/>
      <w:pPr>
        <w:ind w:left="720" w:hanging="360"/>
      </w:pPr>
      <w:rPr>
        <w:rFonts w:ascii="Symbol" w:hAnsi="Symbol" w:hint="default"/>
      </w:rPr>
    </w:lvl>
    <w:lvl w:ilvl="1" w:tplc="D09C7926">
      <w:start w:val="1"/>
      <w:numFmt w:val="bullet"/>
      <w:lvlText w:val="o"/>
      <w:lvlJc w:val="left"/>
      <w:pPr>
        <w:ind w:left="1440" w:hanging="360"/>
      </w:pPr>
      <w:rPr>
        <w:rFonts w:ascii="Courier New" w:hAnsi="Courier New" w:hint="default"/>
      </w:rPr>
    </w:lvl>
    <w:lvl w:ilvl="2" w:tplc="26CCD40A">
      <w:start w:val="1"/>
      <w:numFmt w:val="bullet"/>
      <w:lvlText w:val=""/>
      <w:lvlJc w:val="left"/>
      <w:pPr>
        <w:ind w:left="2160" w:hanging="360"/>
      </w:pPr>
      <w:rPr>
        <w:rFonts w:ascii="Wingdings" w:hAnsi="Wingdings" w:hint="default"/>
      </w:rPr>
    </w:lvl>
    <w:lvl w:ilvl="3" w:tplc="10ACFCEC">
      <w:start w:val="1"/>
      <w:numFmt w:val="bullet"/>
      <w:lvlText w:val=""/>
      <w:lvlJc w:val="left"/>
      <w:pPr>
        <w:ind w:left="2880" w:hanging="360"/>
      </w:pPr>
      <w:rPr>
        <w:rFonts w:ascii="Symbol" w:hAnsi="Symbol" w:hint="default"/>
      </w:rPr>
    </w:lvl>
    <w:lvl w:ilvl="4" w:tplc="A7F85D14">
      <w:start w:val="1"/>
      <w:numFmt w:val="bullet"/>
      <w:lvlText w:val="o"/>
      <w:lvlJc w:val="left"/>
      <w:pPr>
        <w:ind w:left="3600" w:hanging="360"/>
      </w:pPr>
      <w:rPr>
        <w:rFonts w:ascii="Courier New" w:hAnsi="Courier New" w:hint="default"/>
      </w:rPr>
    </w:lvl>
    <w:lvl w:ilvl="5" w:tplc="58B2FB48">
      <w:start w:val="1"/>
      <w:numFmt w:val="bullet"/>
      <w:lvlText w:val=""/>
      <w:lvlJc w:val="left"/>
      <w:pPr>
        <w:ind w:left="4320" w:hanging="360"/>
      </w:pPr>
      <w:rPr>
        <w:rFonts w:ascii="Wingdings" w:hAnsi="Wingdings" w:hint="default"/>
      </w:rPr>
    </w:lvl>
    <w:lvl w:ilvl="6" w:tplc="A60CA4B2">
      <w:start w:val="1"/>
      <w:numFmt w:val="bullet"/>
      <w:lvlText w:val=""/>
      <w:lvlJc w:val="left"/>
      <w:pPr>
        <w:ind w:left="5040" w:hanging="360"/>
      </w:pPr>
      <w:rPr>
        <w:rFonts w:ascii="Symbol" w:hAnsi="Symbol" w:hint="default"/>
      </w:rPr>
    </w:lvl>
    <w:lvl w:ilvl="7" w:tplc="DD1C07E4">
      <w:start w:val="1"/>
      <w:numFmt w:val="bullet"/>
      <w:lvlText w:val="o"/>
      <w:lvlJc w:val="left"/>
      <w:pPr>
        <w:ind w:left="5760" w:hanging="360"/>
      </w:pPr>
      <w:rPr>
        <w:rFonts w:ascii="Courier New" w:hAnsi="Courier New" w:hint="default"/>
      </w:rPr>
    </w:lvl>
    <w:lvl w:ilvl="8" w:tplc="FF283CF0">
      <w:start w:val="1"/>
      <w:numFmt w:val="bullet"/>
      <w:lvlText w:val=""/>
      <w:lvlJc w:val="left"/>
      <w:pPr>
        <w:ind w:left="6480" w:hanging="360"/>
      </w:pPr>
      <w:rPr>
        <w:rFonts w:ascii="Wingdings" w:hAnsi="Wingdings" w:hint="default"/>
      </w:rPr>
    </w:lvl>
  </w:abstractNum>
  <w:abstractNum w:abstractNumId="31" w15:restartNumberingAfterBreak="0">
    <w:nsid w:val="5A862AF2"/>
    <w:multiLevelType w:val="hybridMultilevel"/>
    <w:tmpl w:val="C316BA5E"/>
    <w:lvl w:ilvl="0" w:tplc="1FC426A8">
      <w:start w:val="1"/>
      <w:numFmt w:val="bullet"/>
      <w:lvlText w:val=""/>
      <w:lvlJc w:val="left"/>
      <w:pPr>
        <w:ind w:left="720" w:hanging="360"/>
      </w:pPr>
      <w:rPr>
        <w:rFonts w:ascii="Symbol" w:hAnsi="Symbol" w:hint="default"/>
      </w:rPr>
    </w:lvl>
    <w:lvl w:ilvl="1" w:tplc="59AED386">
      <w:start w:val="1"/>
      <w:numFmt w:val="bullet"/>
      <w:lvlText w:val="o"/>
      <w:lvlJc w:val="left"/>
      <w:pPr>
        <w:ind w:left="1440" w:hanging="360"/>
      </w:pPr>
      <w:rPr>
        <w:rFonts w:ascii="Courier New" w:hAnsi="Courier New" w:hint="default"/>
      </w:rPr>
    </w:lvl>
    <w:lvl w:ilvl="2" w:tplc="481829FE">
      <w:start w:val="1"/>
      <w:numFmt w:val="bullet"/>
      <w:lvlText w:val=""/>
      <w:lvlJc w:val="left"/>
      <w:pPr>
        <w:ind w:left="2160" w:hanging="360"/>
      </w:pPr>
      <w:rPr>
        <w:rFonts w:ascii="Wingdings" w:hAnsi="Wingdings" w:hint="default"/>
      </w:rPr>
    </w:lvl>
    <w:lvl w:ilvl="3" w:tplc="7B3066F0">
      <w:start w:val="1"/>
      <w:numFmt w:val="bullet"/>
      <w:lvlText w:val=""/>
      <w:lvlJc w:val="left"/>
      <w:pPr>
        <w:ind w:left="2880" w:hanging="360"/>
      </w:pPr>
      <w:rPr>
        <w:rFonts w:ascii="Symbol" w:hAnsi="Symbol" w:hint="default"/>
      </w:rPr>
    </w:lvl>
    <w:lvl w:ilvl="4" w:tplc="945CF4B8">
      <w:start w:val="1"/>
      <w:numFmt w:val="bullet"/>
      <w:lvlText w:val="o"/>
      <w:lvlJc w:val="left"/>
      <w:pPr>
        <w:ind w:left="3600" w:hanging="360"/>
      </w:pPr>
      <w:rPr>
        <w:rFonts w:ascii="Courier New" w:hAnsi="Courier New" w:hint="default"/>
      </w:rPr>
    </w:lvl>
    <w:lvl w:ilvl="5" w:tplc="D152F414">
      <w:start w:val="1"/>
      <w:numFmt w:val="bullet"/>
      <w:lvlText w:val=""/>
      <w:lvlJc w:val="left"/>
      <w:pPr>
        <w:ind w:left="4320" w:hanging="360"/>
      </w:pPr>
      <w:rPr>
        <w:rFonts w:ascii="Wingdings" w:hAnsi="Wingdings" w:hint="default"/>
      </w:rPr>
    </w:lvl>
    <w:lvl w:ilvl="6" w:tplc="54D6027E">
      <w:start w:val="1"/>
      <w:numFmt w:val="bullet"/>
      <w:lvlText w:val=""/>
      <w:lvlJc w:val="left"/>
      <w:pPr>
        <w:ind w:left="5040" w:hanging="360"/>
      </w:pPr>
      <w:rPr>
        <w:rFonts w:ascii="Symbol" w:hAnsi="Symbol" w:hint="default"/>
      </w:rPr>
    </w:lvl>
    <w:lvl w:ilvl="7" w:tplc="15500E5C">
      <w:start w:val="1"/>
      <w:numFmt w:val="bullet"/>
      <w:lvlText w:val="o"/>
      <w:lvlJc w:val="left"/>
      <w:pPr>
        <w:ind w:left="5760" w:hanging="360"/>
      </w:pPr>
      <w:rPr>
        <w:rFonts w:ascii="Courier New" w:hAnsi="Courier New" w:hint="default"/>
      </w:rPr>
    </w:lvl>
    <w:lvl w:ilvl="8" w:tplc="200CB440">
      <w:start w:val="1"/>
      <w:numFmt w:val="bullet"/>
      <w:lvlText w:val=""/>
      <w:lvlJc w:val="left"/>
      <w:pPr>
        <w:ind w:left="6480" w:hanging="360"/>
      </w:pPr>
      <w:rPr>
        <w:rFonts w:ascii="Wingdings" w:hAnsi="Wingdings" w:hint="default"/>
      </w:rPr>
    </w:lvl>
  </w:abstractNum>
  <w:abstractNum w:abstractNumId="32" w15:restartNumberingAfterBreak="0">
    <w:nsid w:val="5D02B785"/>
    <w:multiLevelType w:val="hybridMultilevel"/>
    <w:tmpl w:val="BB9037E2"/>
    <w:lvl w:ilvl="0" w:tplc="242E538A">
      <w:start w:val="1"/>
      <w:numFmt w:val="bullet"/>
      <w:lvlText w:val=""/>
      <w:lvlJc w:val="left"/>
      <w:pPr>
        <w:ind w:left="720" w:hanging="360"/>
      </w:pPr>
      <w:rPr>
        <w:rFonts w:ascii="Symbol" w:hAnsi="Symbol" w:hint="default"/>
      </w:rPr>
    </w:lvl>
    <w:lvl w:ilvl="1" w:tplc="4D88C78A">
      <w:start w:val="1"/>
      <w:numFmt w:val="bullet"/>
      <w:lvlText w:val="o"/>
      <w:lvlJc w:val="left"/>
      <w:pPr>
        <w:ind w:left="1440" w:hanging="360"/>
      </w:pPr>
      <w:rPr>
        <w:rFonts w:ascii="Courier New" w:hAnsi="Courier New" w:cs="Times New Roman" w:hint="default"/>
      </w:rPr>
    </w:lvl>
    <w:lvl w:ilvl="2" w:tplc="B1EC2E78">
      <w:start w:val="1"/>
      <w:numFmt w:val="bullet"/>
      <w:lvlText w:val=""/>
      <w:lvlJc w:val="left"/>
      <w:pPr>
        <w:ind w:left="2160" w:hanging="360"/>
      </w:pPr>
      <w:rPr>
        <w:rFonts w:ascii="Wingdings" w:hAnsi="Wingdings" w:hint="default"/>
      </w:rPr>
    </w:lvl>
    <w:lvl w:ilvl="3" w:tplc="FE12BFEE">
      <w:start w:val="1"/>
      <w:numFmt w:val="bullet"/>
      <w:lvlText w:val=""/>
      <w:lvlJc w:val="left"/>
      <w:pPr>
        <w:ind w:left="2880" w:hanging="360"/>
      </w:pPr>
      <w:rPr>
        <w:rFonts w:ascii="Symbol" w:hAnsi="Symbol" w:hint="default"/>
      </w:rPr>
    </w:lvl>
    <w:lvl w:ilvl="4" w:tplc="C76C01CE">
      <w:start w:val="1"/>
      <w:numFmt w:val="bullet"/>
      <w:lvlText w:val="o"/>
      <w:lvlJc w:val="left"/>
      <w:pPr>
        <w:ind w:left="3600" w:hanging="360"/>
      </w:pPr>
      <w:rPr>
        <w:rFonts w:ascii="Courier New" w:hAnsi="Courier New" w:cs="Times New Roman" w:hint="default"/>
      </w:rPr>
    </w:lvl>
    <w:lvl w:ilvl="5" w:tplc="A63032D6">
      <w:start w:val="1"/>
      <w:numFmt w:val="bullet"/>
      <w:lvlText w:val=""/>
      <w:lvlJc w:val="left"/>
      <w:pPr>
        <w:ind w:left="4320" w:hanging="360"/>
      </w:pPr>
      <w:rPr>
        <w:rFonts w:ascii="Wingdings" w:hAnsi="Wingdings" w:hint="default"/>
      </w:rPr>
    </w:lvl>
    <w:lvl w:ilvl="6" w:tplc="8BBC3C7C">
      <w:start w:val="1"/>
      <w:numFmt w:val="bullet"/>
      <w:lvlText w:val=""/>
      <w:lvlJc w:val="left"/>
      <w:pPr>
        <w:ind w:left="5040" w:hanging="360"/>
      </w:pPr>
      <w:rPr>
        <w:rFonts w:ascii="Symbol" w:hAnsi="Symbol" w:hint="default"/>
      </w:rPr>
    </w:lvl>
    <w:lvl w:ilvl="7" w:tplc="A9944138">
      <w:start w:val="1"/>
      <w:numFmt w:val="bullet"/>
      <w:lvlText w:val="o"/>
      <w:lvlJc w:val="left"/>
      <w:pPr>
        <w:ind w:left="5760" w:hanging="360"/>
      </w:pPr>
      <w:rPr>
        <w:rFonts w:ascii="Courier New" w:hAnsi="Courier New" w:cs="Times New Roman" w:hint="default"/>
      </w:rPr>
    </w:lvl>
    <w:lvl w:ilvl="8" w:tplc="69E2877A">
      <w:start w:val="1"/>
      <w:numFmt w:val="bullet"/>
      <w:lvlText w:val=""/>
      <w:lvlJc w:val="left"/>
      <w:pPr>
        <w:ind w:left="6480" w:hanging="360"/>
      </w:pPr>
      <w:rPr>
        <w:rFonts w:ascii="Wingdings" w:hAnsi="Wingdings" w:hint="default"/>
      </w:rPr>
    </w:lvl>
  </w:abstractNum>
  <w:abstractNum w:abstractNumId="33" w15:restartNumberingAfterBreak="0">
    <w:nsid w:val="5FCC6DB9"/>
    <w:multiLevelType w:val="hybridMultilevel"/>
    <w:tmpl w:val="54106888"/>
    <w:lvl w:ilvl="0" w:tplc="2356DC4E">
      <w:start w:val="8"/>
      <w:numFmt w:val="bullet"/>
      <w:lvlText w:val="-"/>
      <w:lvlJc w:val="left"/>
      <w:pPr>
        <w:ind w:left="420" w:hanging="360"/>
      </w:pPr>
      <w:rPr>
        <w:rFonts w:ascii="Times New Roman" w:eastAsia="Times New Roman" w:hAnsi="Times New Roman" w:cs="Times New Roman" w:hint="default"/>
      </w:rPr>
    </w:lvl>
    <w:lvl w:ilvl="1" w:tplc="FFFFFFFF">
      <w:start w:val="1"/>
      <w:numFmt w:val="bullet"/>
      <w:lvlText w:val="o"/>
      <w:lvlJc w:val="left"/>
      <w:pPr>
        <w:ind w:left="1140" w:hanging="360"/>
      </w:pPr>
      <w:rPr>
        <w:rFonts w:ascii="Courier New" w:hAnsi="Courier New" w:cs="Courier New" w:hint="default"/>
      </w:rPr>
    </w:lvl>
    <w:lvl w:ilvl="2" w:tplc="FFFFFFFF" w:tentative="1">
      <w:start w:val="1"/>
      <w:numFmt w:val="bullet"/>
      <w:lvlText w:val=""/>
      <w:lvlJc w:val="left"/>
      <w:pPr>
        <w:ind w:left="1860" w:hanging="360"/>
      </w:pPr>
      <w:rPr>
        <w:rFonts w:ascii="Wingdings" w:hAnsi="Wingdings" w:hint="default"/>
      </w:rPr>
    </w:lvl>
    <w:lvl w:ilvl="3" w:tplc="FFFFFFFF" w:tentative="1">
      <w:start w:val="1"/>
      <w:numFmt w:val="bullet"/>
      <w:lvlText w:val=""/>
      <w:lvlJc w:val="left"/>
      <w:pPr>
        <w:ind w:left="2580" w:hanging="360"/>
      </w:pPr>
      <w:rPr>
        <w:rFonts w:ascii="Symbol" w:hAnsi="Symbol" w:hint="default"/>
      </w:rPr>
    </w:lvl>
    <w:lvl w:ilvl="4" w:tplc="FFFFFFFF" w:tentative="1">
      <w:start w:val="1"/>
      <w:numFmt w:val="bullet"/>
      <w:lvlText w:val="o"/>
      <w:lvlJc w:val="left"/>
      <w:pPr>
        <w:ind w:left="3300" w:hanging="360"/>
      </w:pPr>
      <w:rPr>
        <w:rFonts w:ascii="Courier New" w:hAnsi="Courier New" w:cs="Courier New" w:hint="default"/>
      </w:rPr>
    </w:lvl>
    <w:lvl w:ilvl="5" w:tplc="FFFFFFFF" w:tentative="1">
      <w:start w:val="1"/>
      <w:numFmt w:val="bullet"/>
      <w:lvlText w:val=""/>
      <w:lvlJc w:val="left"/>
      <w:pPr>
        <w:ind w:left="4020" w:hanging="360"/>
      </w:pPr>
      <w:rPr>
        <w:rFonts w:ascii="Wingdings" w:hAnsi="Wingdings" w:hint="default"/>
      </w:rPr>
    </w:lvl>
    <w:lvl w:ilvl="6" w:tplc="FFFFFFFF" w:tentative="1">
      <w:start w:val="1"/>
      <w:numFmt w:val="bullet"/>
      <w:lvlText w:val=""/>
      <w:lvlJc w:val="left"/>
      <w:pPr>
        <w:ind w:left="4740" w:hanging="360"/>
      </w:pPr>
      <w:rPr>
        <w:rFonts w:ascii="Symbol" w:hAnsi="Symbol" w:hint="default"/>
      </w:rPr>
    </w:lvl>
    <w:lvl w:ilvl="7" w:tplc="FFFFFFFF" w:tentative="1">
      <w:start w:val="1"/>
      <w:numFmt w:val="bullet"/>
      <w:lvlText w:val="o"/>
      <w:lvlJc w:val="left"/>
      <w:pPr>
        <w:ind w:left="5460" w:hanging="360"/>
      </w:pPr>
      <w:rPr>
        <w:rFonts w:ascii="Courier New" w:hAnsi="Courier New" w:cs="Courier New" w:hint="default"/>
      </w:rPr>
    </w:lvl>
    <w:lvl w:ilvl="8" w:tplc="FFFFFFFF" w:tentative="1">
      <w:start w:val="1"/>
      <w:numFmt w:val="bullet"/>
      <w:lvlText w:val=""/>
      <w:lvlJc w:val="left"/>
      <w:pPr>
        <w:ind w:left="6180" w:hanging="360"/>
      </w:pPr>
      <w:rPr>
        <w:rFonts w:ascii="Wingdings" w:hAnsi="Wingdings" w:hint="default"/>
      </w:rPr>
    </w:lvl>
  </w:abstractNum>
  <w:abstractNum w:abstractNumId="34" w15:restartNumberingAfterBreak="0">
    <w:nsid w:val="64E743F0"/>
    <w:multiLevelType w:val="hybridMultilevel"/>
    <w:tmpl w:val="4DA2B18A"/>
    <w:lvl w:ilvl="0" w:tplc="DB4CB346">
      <w:start w:val="1"/>
      <w:numFmt w:val="bullet"/>
      <w:lvlText w:val="-"/>
      <w:lvlJc w:val="left"/>
      <w:pPr>
        <w:ind w:left="720" w:hanging="360"/>
      </w:pPr>
      <w:rPr>
        <w:rFonts w:ascii="Calibri" w:hAnsi="Calibri" w:cs="Times New Roman" w:hint="default"/>
      </w:rPr>
    </w:lvl>
    <w:lvl w:ilvl="1" w:tplc="FFFFFFFF">
      <w:start w:val="1"/>
      <w:numFmt w:val="bullet"/>
      <w:lvlText w:val="o"/>
      <w:lvlJc w:val="left"/>
      <w:pPr>
        <w:ind w:left="1440" w:hanging="360"/>
      </w:pPr>
      <w:rPr>
        <w:rFonts w:ascii="Courier New" w:hAnsi="Courier New"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Times New Roman"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Times New Roman"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65963F34"/>
    <w:multiLevelType w:val="hybridMultilevel"/>
    <w:tmpl w:val="BD18B988"/>
    <w:lvl w:ilvl="0" w:tplc="08090001">
      <w:start w:val="1"/>
      <w:numFmt w:val="bullet"/>
      <w:lvlText w:val=""/>
      <w:lvlJc w:val="left"/>
      <w:pPr>
        <w:ind w:left="720" w:hanging="360"/>
      </w:pPr>
      <w:rPr>
        <w:rFonts w:ascii="Symbol" w:hAnsi="Symbol" w:hint="default"/>
      </w:rPr>
    </w:lvl>
    <w:lvl w:ilvl="1" w:tplc="1EB69756">
      <w:start w:val="1"/>
      <w:numFmt w:val="lowerLetter"/>
      <w:lvlText w:val="%2."/>
      <w:lvlJc w:val="left"/>
      <w:pPr>
        <w:ind w:left="1440" w:hanging="360"/>
      </w:pPr>
    </w:lvl>
    <w:lvl w:ilvl="2" w:tplc="334EA938">
      <w:start w:val="1"/>
      <w:numFmt w:val="lowerRoman"/>
      <w:lvlText w:val="%3."/>
      <w:lvlJc w:val="right"/>
      <w:pPr>
        <w:ind w:left="2160" w:hanging="180"/>
      </w:pPr>
    </w:lvl>
    <w:lvl w:ilvl="3" w:tplc="5D2CC24A">
      <w:start w:val="1"/>
      <w:numFmt w:val="decimal"/>
      <w:lvlText w:val="%4."/>
      <w:lvlJc w:val="left"/>
      <w:pPr>
        <w:ind w:left="2880" w:hanging="360"/>
      </w:pPr>
    </w:lvl>
    <w:lvl w:ilvl="4" w:tplc="307A1D44">
      <w:start w:val="1"/>
      <w:numFmt w:val="lowerLetter"/>
      <w:lvlText w:val="%5."/>
      <w:lvlJc w:val="left"/>
      <w:pPr>
        <w:ind w:left="3600" w:hanging="360"/>
      </w:pPr>
    </w:lvl>
    <w:lvl w:ilvl="5" w:tplc="25126AA4">
      <w:start w:val="1"/>
      <w:numFmt w:val="lowerRoman"/>
      <w:lvlText w:val="%6."/>
      <w:lvlJc w:val="right"/>
      <w:pPr>
        <w:ind w:left="4320" w:hanging="180"/>
      </w:pPr>
    </w:lvl>
    <w:lvl w:ilvl="6" w:tplc="B6A43972">
      <w:start w:val="1"/>
      <w:numFmt w:val="decimal"/>
      <w:lvlText w:val="%7."/>
      <w:lvlJc w:val="left"/>
      <w:pPr>
        <w:ind w:left="5040" w:hanging="360"/>
      </w:pPr>
    </w:lvl>
    <w:lvl w:ilvl="7" w:tplc="47366F72">
      <w:start w:val="1"/>
      <w:numFmt w:val="lowerLetter"/>
      <w:lvlText w:val="%8."/>
      <w:lvlJc w:val="left"/>
      <w:pPr>
        <w:ind w:left="5760" w:hanging="360"/>
      </w:pPr>
    </w:lvl>
    <w:lvl w:ilvl="8" w:tplc="CEDC6D9A">
      <w:start w:val="1"/>
      <w:numFmt w:val="lowerRoman"/>
      <w:lvlText w:val="%9."/>
      <w:lvlJc w:val="right"/>
      <w:pPr>
        <w:ind w:left="6480" w:hanging="180"/>
      </w:pPr>
    </w:lvl>
  </w:abstractNum>
  <w:abstractNum w:abstractNumId="36" w15:restartNumberingAfterBreak="0">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37" w15:restartNumberingAfterBreak="0">
    <w:nsid w:val="6784D2BA"/>
    <w:multiLevelType w:val="hybridMultilevel"/>
    <w:tmpl w:val="70FA8872"/>
    <w:lvl w:ilvl="0" w:tplc="14B6CC38">
      <w:start w:val="1"/>
      <w:numFmt w:val="bullet"/>
      <w:lvlText w:val=""/>
      <w:lvlJc w:val="left"/>
      <w:pPr>
        <w:ind w:left="720" w:hanging="360"/>
      </w:pPr>
      <w:rPr>
        <w:rFonts w:ascii="Symbol" w:hAnsi="Symbol" w:hint="default"/>
      </w:rPr>
    </w:lvl>
    <w:lvl w:ilvl="1" w:tplc="0B9CC15C">
      <w:start w:val="1"/>
      <w:numFmt w:val="bullet"/>
      <w:lvlText w:val="o"/>
      <w:lvlJc w:val="left"/>
      <w:pPr>
        <w:ind w:left="1440" w:hanging="360"/>
      </w:pPr>
      <w:rPr>
        <w:rFonts w:ascii="Courier New" w:hAnsi="Courier New" w:hint="default"/>
      </w:rPr>
    </w:lvl>
    <w:lvl w:ilvl="2" w:tplc="773A6E78">
      <w:start w:val="1"/>
      <w:numFmt w:val="bullet"/>
      <w:lvlText w:val=""/>
      <w:lvlJc w:val="left"/>
      <w:pPr>
        <w:ind w:left="2160" w:hanging="360"/>
      </w:pPr>
      <w:rPr>
        <w:rFonts w:ascii="Wingdings" w:hAnsi="Wingdings" w:hint="default"/>
      </w:rPr>
    </w:lvl>
    <w:lvl w:ilvl="3" w:tplc="4B6E5016">
      <w:start w:val="1"/>
      <w:numFmt w:val="bullet"/>
      <w:lvlText w:val=""/>
      <w:lvlJc w:val="left"/>
      <w:pPr>
        <w:ind w:left="2880" w:hanging="360"/>
      </w:pPr>
      <w:rPr>
        <w:rFonts w:ascii="Symbol" w:hAnsi="Symbol" w:hint="default"/>
      </w:rPr>
    </w:lvl>
    <w:lvl w:ilvl="4" w:tplc="D6F4D3F6">
      <w:start w:val="1"/>
      <w:numFmt w:val="bullet"/>
      <w:lvlText w:val="o"/>
      <w:lvlJc w:val="left"/>
      <w:pPr>
        <w:ind w:left="3600" w:hanging="360"/>
      </w:pPr>
      <w:rPr>
        <w:rFonts w:ascii="Courier New" w:hAnsi="Courier New" w:hint="default"/>
      </w:rPr>
    </w:lvl>
    <w:lvl w:ilvl="5" w:tplc="43406CBE">
      <w:start w:val="1"/>
      <w:numFmt w:val="bullet"/>
      <w:lvlText w:val=""/>
      <w:lvlJc w:val="left"/>
      <w:pPr>
        <w:ind w:left="4320" w:hanging="360"/>
      </w:pPr>
      <w:rPr>
        <w:rFonts w:ascii="Wingdings" w:hAnsi="Wingdings" w:hint="default"/>
      </w:rPr>
    </w:lvl>
    <w:lvl w:ilvl="6" w:tplc="254E72C8">
      <w:start w:val="1"/>
      <w:numFmt w:val="bullet"/>
      <w:lvlText w:val=""/>
      <w:lvlJc w:val="left"/>
      <w:pPr>
        <w:ind w:left="5040" w:hanging="360"/>
      </w:pPr>
      <w:rPr>
        <w:rFonts w:ascii="Symbol" w:hAnsi="Symbol" w:hint="default"/>
      </w:rPr>
    </w:lvl>
    <w:lvl w:ilvl="7" w:tplc="D31A1DF8">
      <w:start w:val="1"/>
      <w:numFmt w:val="bullet"/>
      <w:lvlText w:val="o"/>
      <w:lvlJc w:val="left"/>
      <w:pPr>
        <w:ind w:left="5760" w:hanging="360"/>
      </w:pPr>
      <w:rPr>
        <w:rFonts w:ascii="Courier New" w:hAnsi="Courier New" w:hint="default"/>
      </w:rPr>
    </w:lvl>
    <w:lvl w:ilvl="8" w:tplc="285A4BAA">
      <w:start w:val="1"/>
      <w:numFmt w:val="bullet"/>
      <w:lvlText w:val=""/>
      <w:lvlJc w:val="left"/>
      <w:pPr>
        <w:ind w:left="6480" w:hanging="360"/>
      </w:pPr>
      <w:rPr>
        <w:rFonts w:ascii="Wingdings" w:hAnsi="Wingdings" w:hint="default"/>
      </w:rPr>
    </w:lvl>
  </w:abstractNum>
  <w:abstractNum w:abstractNumId="38" w15:restartNumberingAfterBreak="0">
    <w:nsid w:val="6C6524D0"/>
    <w:multiLevelType w:val="hybridMultilevel"/>
    <w:tmpl w:val="2F88BF34"/>
    <w:lvl w:ilvl="0" w:tplc="2356DC4E">
      <w:start w:val="8"/>
      <w:numFmt w:val="bullet"/>
      <w:lvlText w:val="-"/>
      <w:lvlJc w:val="left"/>
      <w:pPr>
        <w:ind w:left="420" w:hanging="360"/>
      </w:pPr>
      <w:rPr>
        <w:rFonts w:ascii="Times New Roman" w:eastAsia="Times New Roman" w:hAnsi="Times New Roman" w:cs="Times New Roman" w:hint="default"/>
      </w:rPr>
    </w:lvl>
    <w:lvl w:ilvl="1" w:tplc="04090003">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9" w15:restartNumberingAfterBreak="0">
    <w:nsid w:val="73A67AC2"/>
    <w:multiLevelType w:val="hybridMultilevel"/>
    <w:tmpl w:val="4AB0C5E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4D034F1"/>
    <w:multiLevelType w:val="hybridMultilevel"/>
    <w:tmpl w:val="DE04F1E4"/>
    <w:lvl w:ilvl="0" w:tplc="67D2720C">
      <w:start w:val="1"/>
      <w:numFmt w:val="bullet"/>
      <w:lvlText w:val=""/>
      <w:lvlJc w:val="left"/>
      <w:pPr>
        <w:ind w:left="720" w:hanging="360"/>
      </w:pPr>
      <w:rPr>
        <w:rFonts w:ascii="Symbol" w:hAnsi="Symbol" w:hint="default"/>
      </w:rPr>
    </w:lvl>
    <w:lvl w:ilvl="1" w:tplc="9D8A59B4">
      <w:start w:val="1"/>
      <w:numFmt w:val="bullet"/>
      <w:lvlText w:val="o"/>
      <w:lvlJc w:val="left"/>
      <w:pPr>
        <w:ind w:left="1440" w:hanging="360"/>
      </w:pPr>
      <w:rPr>
        <w:rFonts w:ascii="Courier New" w:hAnsi="Courier New" w:cs="Times New Roman" w:hint="default"/>
      </w:rPr>
    </w:lvl>
    <w:lvl w:ilvl="2" w:tplc="B226E792">
      <w:start w:val="1"/>
      <w:numFmt w:val="bullet"/>
      <w:lvlText w:val=""/>
      <w:lvlJc w:val="left"/>
      <w:pPr>
        <w:ind w:left="2160" w:hanging="360"/>
      </w:pPr>
      <w:rPr>
        <w:rFonts w:ascii="Wingdings" w:hAnsi="Wingdings" w:hint="default"/>
      </w:rPr>
    </w:lvl>
    <w:lvl w:ilvl="3" w:tplc="8F9CCE2E">
      <w:start w:val="1"/>
      <w:numFmt w:val="bullet"/>
      <w:lvlText w:val=""/>
      <w:lvlJc w:val="left"/>
      <w:pPr>
        <w:ind w:left="2880" w:hanging="360"/>
      </w:pPr>
      <w:rPr>
        <w:rFonts w:ascii="Symbol" w:hAnsi="Symbol" w:hint="default"/>
      </w:rPr>
    </w:lvl>
    <w:lvl w:ilvl="4" w:tplc="5A6677EE">
      <w:start w:val="1"/>
      <w:numFmt w:val="bullet"/>
      <w:lvlText w:val="o"/>
      <w:lvlJc w:val="left"/>
      <w:pPr>
        <w:ind w:left="3600" w:hanging="360"/>
      </w:pPr>
      <w:rPr>
        <w:rFonts w:ascii="Courier New" w:hAnsi="Courier New" w:cs="Times New Roman" w:hint="default"/>
      </w:rPr>
    </w:lvl>
    <w:lvl w:ilvl="5" w:tplc="80C0B8D6">
      <w:start w:val="1"/>
      <w:numFmt w:val="bullet"/>
      <w:lvlText w:val=""/>
      <w:lvlJc w:val="left"/>
      <w:pPr>
        <w:ind w:left="4320" w:hanging="360"/>
      </w:pPr>
      <w:rPr>
        <w:rFonts w:ascii="Wingdings" w:hAnsi="Wingdings" w:hint="default"/>
      </w:rPr>
    </w:lvl>
    <w:lvl w:ilvl="6" w:tplc="6E727926">
      <w:start w:val="1"/>
      <w:numFmt w:val="bullet"/>
      <w:lvlText w:val=""/>
      <w:lvlJc w:val="left"/>
      <w:pPr>
        <w:ind w:left="5040" w:hanging="360"/>
      </w:pPr>
      <w:rPr>
        <w:rFonts w:ascii="Symbol" w:hAnsi="Symbol" w:hint="default"/>
      </w:rPr>
    </w:lvl>
    <w:lvl w:ilvl="7" w:tplc="1640DF4E">
      <w:start w:val="1"/>
      <w:numFmt w:val="bullet"/>
      <w:lvlText w:val="o"/>
      <w:lvlJc w:val="left"/>
      <w:pPr>
        <w:ind w:left="5760" w:hanging="360"/>
      </w:pPr>
      <w:rPr>
        <w:rFonts w:ascii="Courier New" w:hAnsi="Courier New" w:cs="Times New Roman" w:hint="default"/>
      </w:rPr>
    </w:lvl>
    <w:lvl w:ilvl="8" w:tplc="6E680932">
      <w:start w:val="1"/>
      <w:numFmt w:val="bullet"/>
      <w:lvlText w:val=""/>
      <w:lvlJc w:val="left"/>
      <w:pPr>
        <w:ind w:left="6480" w:hanging="360"/>
      </w:pPr>
      <w:rPr>
        <w:rFonts w:ascii="Wingdings" w:hAnsi="Wingdings" w:hint="default"/>
      </w:rPr>
    </w:lvl>
  </w:abstractNum>
  <w:abstractNum w:abstractNumId="41" w15:restartNumberingAfterBreak="0">
    <w:nsid w:val="76C9D67B"/>
    <w:multiLevelType w:val="hybridMultilevel"/>
    <w:tmpl w:val="ED487BD6"/>
    <w:lvl w:ilvl="0" w:tplc="2F88D8D0">
      <w:start w:val="1"/>
      <w:numFmt w:val="bullet"/>
      <w:lvlText w:val=""/>
      <w:lvlJc w:val="left"/>
      <w:pPr>
        <w:ind w:left="1080" w:hanging="360"/>
      </w:pPr>
      <w:rPr>
        <w:rFonts w:ascii="Symbol" w:hAnsi="Symbol" w:hint="default"/>
      </w:rPr>
    </w:lvl>
    <w:lvl w:ilvl="1" w:tplc="5FD87716">
      <w:start w:val="1"/>
      <w:numFmt w:val="bullet"/>
      <w:lvlText w:val="o"/>
      <w:lvlJc w:val="left"/>
      <w:pPr>
        <w:ind w:left="1800" w:hanging="360"/>
      </w:pPr>
      <w:rPr>
        <w:rFonts w:ascii="Courier New" w:hAnsi="Courier New" w:hint="default"/>
      </w:rPr>
    </w:lvl>
    <w:lvl w:ilvl="2" w:tplc="1C985EB2">
      <w:start w:val="1"/>
      <w:numFmt w:val="bullet"/>
      <w:lvlText w:val=""/>
      <w:lvlJc w:val="left"/>
      <w:pPr>
        <w:ind w:left="2520" w:hanging="360"/>
      </w:pPr>
      <w:rPr>
        <w:rFonts w:ascii="Wingdings" w:hAnsi="Wingdings" w:hint="default"/>
      </w:rPr>
    </w:lvl>
    <w:lvl w:ilvl="3" w:tplc="4008C55C">
      <w:start w:val="1"/>
      <w:numFmt w:val="bullet"/>
      <w:lvlText w:val=""/>
      <w:lvlJc w:val="left"/>
      <w:pPr>
        <w:ind w:left="3240" w:hanging="360"/>
      </w:pPr>
      <w:rPr>
        <w:rFonts w:ascii="Symbol" w:hAnsi="Symbol" w:hint="default"/>
      </w:rPr>
    </w:lvl>
    <w:lvl w:ilvl="4" w:tplc="D6447D8E">
      <w:start w:val="1"/>
      <w:numFmt w:val="bullet"/>
      <w:lvlText w:val="o"/>
      <w:lvlJc w:val="left"/>
      <w:pPr>
        <w:ind w:left="3960" w:hanging="360"/>
      </w:pPr>
      <w:rPr>
        <w:rFonts w:ascii="Courier New" w:hAnsi="Courier New" w:hint="default"/>
      </w:rPr>
    </w:lvl>
    <w:lvl w:ilvl="5" w:tplc="35CA0B44">
      <w:start w:val="1"/>
      <w:numFmt w:val="bullet"/>
      <w:lvlText w:val=""/>
      <w:lvlJc w:val="left"/>
      <w:pPr>
        <w:ind w:left="4680" w:hanging="360"/>
      </w:pPr>
      <w:rPr>
        <w:rFonts w:ascii="Wingdings" w:hAnsi="Wingdings" w:hint="default"/>
      </w:rPr>
    </w:lvl>
    <w:lvl w:ilvl="6" w:tplc="706433F8">
      <w:start w:val="1"/>
      <w:numFmt w:val="bullet"/>
      <w:lvlText w:val=""/>
      <w:lvlJc w:val="left"/>
      <w:pPr>
        <w:ind w:left="5400" w:hanging="360"/>
      </w:pPr>
      <w:rPr>
        <w:rFonts w:ascii="Symbol" w:hAnsi="Symbol" w:hint="default"/>
      </w:rPr>
    </w:lvl>
    <w:lvl w:ilvl="7" w:tplc="24F2AB98">
      <w:start w:val="1"/>
      <w:numFmt w:val="bullet"/>
      <w:lvlText w:val="o"/>
      <w:lvlJc w:val="left"/>
      <w:pPr>
        <w:ind w:left="6120" w:hanging="360"/>
      </w:pPr>
      <w:rPr>
        <w:rFonts w:ascii="Courier New" w:hAnsi="Courier New" w:hint="default"/>
      </w:rPr>
    </w:lvl>
    <w:lvl w:ilvl="8" w:tplc="76E0F884">
      <w:start w:val="1"/>
      <w:numFmt w:val="bullet"/>
      <w:lvlText w:val=""/>
      <w:lvlJc w:val="left"/>
      <w:pPr>
        <w:ind w:left="6840" w:hanging="360"/>
      </w:pPr>
      <w:rPr>
        <w:rFonts w:ascii="Wingdings" w:hAnsi="Wingdings" w:hint="default"/>
      </w:rPr>
    </w:lvl>
  </w:abstractNum>
  <w:abstractNum w:abstractNumId="42" w15:restartNumberingAfterBreak="0">
    <w:nsid w:val="76F75CE5"/>
    <w:multiLevelType w:val="hybridMultilevel"/>
    <w:tmpl w:val="BBCE5A34"/>
    <w:lvl w:ilvl="0" w:tplc="DA00F1CC">
      <w:start w:val="1"/>
      <w:numFmt w:val="bullet"/>
      <w:lvlText w:val=""/>
      <w:lvlJc w:val="left"/>
      <w:pPr>
        <w:ind w:left="720" w:hanging="360"/>
      </w:pPr>
      <w:rPr>
        <w:rFonts w:ascii="Symbol" w:hAnsi="Symbol" w:hint="default"/>
      </w:rPr>
    </w:lvl>
    <w:lvl w:ilvl="1" w:tplc="DB20EB7E">
      <w:start w:val="1"/>
      <w:numFmt w:val="bullet"/>
      <w:lvlText w:val="o"/>
      <w:lvlJc w:val="left"/>
      <w:pPr>
        <w:ind w:left="1440" w:hanging="360"/>
      </w:pPr>
      <w:rPr>
        <w:rFonts w:ascii="Courier New" w:hAnsi="Courier New" w:cs="Times New Roman" w:hint="default"/>
      </w:rPr>
    </w:lvl>
    <w:lvl w:ilvl="2" w:tplc="C650915C">
      <w:start w:val="1"/>
      <w:numFmt w:val="bullet"/>
      <w:lvlText w:val=""/>
      <w:lvlJc w:val="left"/>
      <w:pPr>
        <w:ind w:left="2160" w:hanging="360"/>
      </w:pPr>
      <w:rPr>
        <w:rFonts w:ascii="Wingdings" w:hAnsi="Wingdings" w:hint="default"/>
      </w:rPr>
    </w:lvl>
    <w:lvl w:ilvl="3" w:tplc="F3022A60">
      <w:start w:val="1"/>
      <w:numFmt w:val="bullet"/>
      <w:lvlText w:val=""/>
      <w:lvlJc w:val="left"/>
      <w:pPr>
        <w:ind w:left="2880" w:hanging="360"/>
      </w:pPr>
      <w:rPr>
        <w:rFonts w:ascii="Symbol" w:hAnsi="Symbol" w:hint="default"/>
      </w:rPr>
    </w:lvl>
    <w:lvl w:ilvl="4" w:tplc="F89AB62A">
      <w:start w:val="1"/>
      <w:numFmt w:val="bullet"/>
      <w:lvlText w:val="o"/>
      <w:lvlJc w:val="left"/>
      <w:pPr>
        <w:ind w:left="3600" w:hanging="360"/>
      </w:pPr>
      <w:rPr>
        <w:rFonts w:ascii="Courier New" w:hAnsi="Courier New" w:cs="Times New Roman" w:hint="default"/>
      </w:rPr>
    </w:lvl>
    <w:lvl w:ilvl="5" w:tplc="FEF6E342">
      <w:start w:val="1"/>
      <w:numFmt w:val="bullet"/>
      <w:lvlText w:val=""/>
      <w:lvlJc w:val="left"/>
      <w:pPr>
        <w:ind w:left="4320" w:hanging="360"/>
      </w:pPr>
      <w:rPr>
        <w:rFonts w:ascii="Wingdings" w:hAnsi="Wingdings" w:hint="default"/>
      </w:rPr>
    </w:lvl>
    <w:lvl w:ilvl="6" w:tplc="04CE9C8C">
      <w:start w:val="1"/>
      <w:numFmt w:val="bullet"/>
      <w:lvlText w:val=""/>
      <w:lvlJc w:val="left"/>
      <w:pPr>
        <w:ind w:left="5040" w:hanging="360"/>
      </w:pPr>
      <w:rPr>
        <w:rFonts w:ascii="Symbol" w:hAnsi="Symbol" w:hint="default"/>
      </w:rPr>
    </w:lvl>
    <w:lvl w:ilvl="7" w:tplc="504A9812">
      <w:start w:val="1"/>
      <w:numFmt w:val="bullet"/>
      <w:lvlText w:val="o"/>
      <w:lvlJc w:val="left"/>
      <w:pPr>
        <w:ind w:left="5760" w:hanging="360"/>
      </w:pPr>
      <w:rPr>
        <w:rFonts w:ascii="Courier New" w:hAnsi="Courier New" w:cs="Times New Roman" w:hint="default"/>
      </w:rPr>
    </w:lvl>
    <w:lvl w:ilvl="8" w:tplc="6248D84A">
      <w:start w:val="1"/>
      <w:numFmt w:val="bullet"/>
      <w:lvlText w:val=""/>
      <w:lvlJc w:val="left"/>
      <w:pPr>
        <w:ind w:left="6480" w:hanging="360"/>
      </w:pPr>
      <w:rPr>
        <w:rFonts w:ascii="Wingdings" w:hAnsi="Wingdings" w:hint="default"/>
      </w:rPr>
    </w:lvl>
  </w:abstractNum>
  <w:abstractNum w:abstractNumId="43" w15:restartNumberingAfterBreak="0">
    <w:nsid w:val="77D747E9"/>
    <w:multiLevelType w:val="hybridMultilevel"/>
    <w:tmpl w:val="E0B8A384"/>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9AF0246"/>
    <w:multiLevelType w:val="hybridMultilevel"/>
    <w:tmpl w:val="76340B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AC11DD9"/>
    <w:multiLevelType w:val="hybridMultilevel"/>
    <w:tmpl w:val="F0D6E03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6" w15:restartNumberingAfterBreak="0">
    <w:nsid w:val="7B1D4E0F"/>
    <w:multiLevelType w:val="hybridMultilevel"/>
    <w:tmpl w:val="FFFFFFFF"/>
    <w:lvl w:ilvl="0" w:tplc="CCDC9144">
      <w:start w:val="1"/>
      <w:numFmt w:val="bullet"/>
      <w:lvlText w:val="·"/>
      <w:lvlJc w:val="left"/>
      <w:pPr>
        <w:ind w:left="720" w:hanging="360"/>
      </w:pPr>
      <w:rPr>
        <w:rFonts w:ascii="Symbol" w:hAnsi="Symbol" w:hint="default"/>
      </w:rPr>
    </w:lvl>
    <w:lvl w:ilvl="1" w:tplc="8A1A91F6">
      <w:start w:val="1"/>
      <w:numFmt w:val="bullet"/>
      <w:lvlText w:val="o"/>
      <w:lvlJc w:val="left"/>
      <w:pPr>
        <w:ind w:left="1440" w:hanging="360"/>
      </w:pPr>
      <w:rPr>
        <w:rFonts w:ascii="Courier New" w:hAnsi="Courier New" w:hint="default"/>
      </w:rPr>
    </w:lvl>
    <w:lvl w:ilvl="2" w:tplc="FF34F63C">
      <w:start w:val="1"/>
      <w:numFmt w:val="bullet"/>
      <w:lvlText w:val=""/>
      <w:lvlJc w:val="left"/>
      <w:pPr>
        <w:ind w:left="2160" w:hanging="360"/>
      </w:pPr>
      <w:rPr>
        <w:rFonts w:ascii="Wingdings" w:hAnsi="Wingdings" w:hint="default"/>
      </w:rPr>
    </w:lvl>
    <w:lvl w:ilvl="3" w:tplc="234C8D48">
      <w:start w:val="1"/>
      <w:numFmt w:val="bullet"/>
      <w:lvlText w:val=""/>
      <w:lvlJc w:val="left"/>
      <w:pPr>
        <w:ind w:left="2880" w:hanging="360"/>
      </w:pPr>
      <w:rPr>
        <w:rFonts w:ascii="Symbol" w:hAnsi="Symbol" w:hint="default"/>
      </w:rPr>
    </w:lvl>
    <w:lvl w:ilvl="4" w:tplc="9948D378">
      <w:start w:val="1"/>
      <w:numFmt w:val="bullet"/>
      <w:lvlText w:val="o"/>
      <w:lvlJc w:val="left"/>
      <w:pPr>
        <w:ind w:left="3600" w:hanging="360"/>
      </w:pPr>
      <w:rPr>
        <w:rFonts w:ascii="Courier New" w:hAnsi="Courier New" w:hint="default"/>
      </w:rPr>
    </w:lvl>
    <w:lvl w:ilvl="5" w:tplc="55BC65DE">
      <w:start w:val="1"/>
      <w:numFmt w:val="bullet"/>
      <w:lvlText w:val=""/>
      <w:lvlJc w:val="left"/>
      <w:pPr>
        <w:ind w:left="4320" w:hanging="360"/>
      </w:pPr>
      <w:rPr>
        <w:rFonts w:ascii="Wingdings" w:hAnsi="Wingdings" w:hint="default"/>
      </w:rPr>
    </w:lvl>
    <w:lvl w:ilvl="6" w:tplc="5E2E84DC">
      <w:start w:val="1"/>
      <w:numFmt w:val="bullet"/>
      <w:lvlText w:val=""/>
      <w:lvlJc w:val="left"/>
      <w:pPr>
        <w:ind w:left="5040" w:hanging="360"/>
      </w:pPr>
      <w:rPr>
        <w:rFonts w:ascii="Symbol" w:hAnsi="Symbol" w:hint="default"/>
      </w:rPr>
    </w:lvl>
    <w:lvl w:ilvl="7" w:tplc="67A0DE92">
      <w:start w:val="1"/>
      <w:numFmt w:val="bullet"/>
      <w:lvlText w:val="o"/>
      <w:lvlJc w:val="left"/>
      <w:pPr>
        <w:ind w:left="5760" w:hanging="360"/>
      </w:pPr>
      <w:rPr>
        <w:rFonts w:ascii="Courier New" w:hAnsi="Courier New" w:hint="default"/>
      </w:rPr>
    </w:lvl>
    <w:lvl w:ilvl="8" w:tplc="100AB900">
      <w:start w:val="1"/>
      <w:numFmt w:val="bullet"/>
      <w:lvlText w:val=""/>
      <w:lvlJc w:val="left"/>
      <w:pPr>
        <w:ind w:left="6480" w:hanging="360"/>
      </w:pPr>
      <w:rPr>
        <w:rFonts w:ascii="Wingdings" w:hAnsi="Wingdings" w:hint="default"/>
      </w:rPr>
    </w:lvl>
  </w:abstractNum>
  <w:num w:numId="1" w16cid:durableId="2018733083">
    <w:abstractNumId w:val="0"/>
  </w:num>
  <w:num w:numId="2" w16cid:durableId="332151016">
    <w:abstractNumId w:val="10"/>
  </w:num>
  <w:num w:numId="3" w16cid:durableId="1444154731">
    <w:abstractNumId w:val="36"/>
  </w:num>
  <w:num w:numId="4" w16cid:durableId="1560553009">
    <w:abstractNumId w:val="23"/>
  </w:num>
  <w:num w:numId="5" w16cid:durableId="1367364336">
    <w:abstractNumId w:val="46"/>
  </w:num>
  <w:num w:numId="6" w16cid:durableId="1452628333">
    <w:abstractNumId w:val="43"/>
  </w:num>
  <w:num w:numId="7" w16cid:durableId="664012182">
    <w:abstractNumId w:val="39"/>
  </w:num>
  <w:num w:numId="8" w16cid:durableId="1657415570">
    <w:abstractNumId w:val="28"/>
  </w:num>
  <w:num w:numId="9" w16cid:durableId="325210334">
    <w:abstractNumId w:val="38"/>
  </w:num>
  <w:num w:numId="10" w16cid:durableId="17893953">
    <w:abstractNumId w:val="5"/>
  </w:num>
  <w:num w:numId="11" w16cid:durableId="401412708">
    <w:abstractNumId w:val="33"/>
  </w:num>
  <w:num w:numId="12" w16cid:durableId="1592927707">
    <w:abstractNumId w:val="44"/>
  </w:num>
  <w:num w:numId="13" w16cid:durableId="1298484856">
    <w:abstractNumId w:val="22"/>
  </w:num>
  <w:num w:numId="14" w16cid:durableId="1174372296">
    <w:abstractNumId w:val="12"/>
  </w:num>
  <w:num w:numId="15" w16cid:durableId="177231916">
    <w:abstractNumId w:val="13"/>
  </w:num>
  <w:num w:numId="16" w16cid:durableId="1848641110">
    <w:abstractNumId w:val="20"/>
  </w:num>
  <w:num w:numId="17" w16cid:durableId="998727353">
    <w:abstractNumId w:val="17"/>
  </w:num>
  <w:num w:numId="18" w16cid:durableId="1857382667">
    <w:abstractNumId w:val="16"/>
  </w:num>
  <w:num w:numId="19" w16cid:durableId="338392816">
    <w:abstractNumId w:val="18"/>
  </w:num>
  <w:num w:numId="20" w16cid:durableId="827286437">
    <w:abstractNumId w:val="25"/>
  </w:num>
  <w:num w:numId="21" w16cid:durableId="9836693">
    <w:abstractNumId w:val="19"/>
  </w:num>
  <w:num w:numId="22" w16cid:durableId="1877545030">
    <w:abstractNumId w:val="7"/>
  </w:num>
  <w:num w:numId="23" w16cid:durableId="669215843">
    <w:abstractNumId w:val="11"/>
  </w:num>
  <w:num w:numId="24" w16cid:durableId="48961636">
    <w:abstractNumId w:val="21"/>
  </w:num>
  <w:num w:numId="25" w16cid:durableId="885988156">
    <w:abstractNumId w:val="45"/>
  </w:num>
  <w:num w:numId="26" w16cid:durableId="69886078">
    <w:abstractNumId w:val="3"/>
  </w:num>
  <w:num w:numId="27" w16cid:durableId="1259755827">
    <w:abstractNumId w:val="14"/>
  </w:num>
  <w:num w:numId="28" w16cid:durableId="1546601849">
    <w:abstractNumId w:val="34"/>
  </w:num>
  <w:num w:numId="29" w16cid:durableId="121990280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695497281">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05434935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714547433">
    <w:abstractNumId w:val="14"/>
  </w:num>
  <w:num w:numId="33" w16cid:durableId="2061320168">
    <w:abstractNumId w:val="4"/>
  </w:num>
  <w:num w:numId="34" w16cid:durableId="1952738145">
    <w:abstractNumId w:val="24"/>
  </w:num>
  <w:num w:numId="35" w16cid:durableId="1511288003">
    <w:abstractNumId w:val="37"/>
  </w:num>
  <w:num w:numId="36" w16cid:durableId="1790471417">
    <w:abstractNumId w:val="41"/>
  </w:num>
  <w:num w:numId="37" w16cid:durableId="1989820964">
    <w:abstractNumId w:val="31"/>
  </w:num>
  <w:num w:numId="38" w16cid:durableId="1818954356">
    <w:abstractNumId w:val="8"/>
  </w:num>
  <w:num w:numId="39" w16cid:durableId="60106183">
    <w:abstractNumId w:val="29"/>
  </w:num>
  <w:num w:numId="40" w16cid:durableId="747190059">
    <w:abstractNumId w:val="1"/>
  </w:num>
  <w:num w:numId="41" w16cid:durableId="919949310">
    <w:abstractNumId w:val="30"/>
  </w:num>
  <w:num w:numId="42" w16cid:durableId="1817332434">
    <w:abstractNumId w:val="27"/>
  </w:num>
  <w:num w:numId="43" w16cid:durableId="1578638209">
    <w:abstractNumId w:val="9"/>
  </w:num>
  <w:num w:numId="44" w16cid:durableId="125780018">
    <w:abstractNumId w:val="26"/>
  </w:num>
  <w:num w:numId="45" w16cid:durableId="2038387920">
    <w:abstractNumId w:val="2"/>
  </w:num>
  <w:num w:numId="46" w16cid:durableId="24333101">
    <w:abstractNumId w:val="40"/>
  </w:num>
  <w:num w:numId="47" w16cid:durableId="1381662545">
    <w:abstractNumId w:val="42"/>
  </w:num>
  <w:num w:numId="48" w16cid:durableId="1588347100">
    <w:abstractNumId w:val="32"/>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8F1"/>
    <w:rsid w:val="00000D31"/>
    <w:rsid w:val="00001115"/>
    <w:rsid w:val="00002E2C"/>
    <w:rsid w:val="000045B9"/>
    <w:rsid w:val="000072FB"/>
    <w:rsid w:val="00010222"/>
    <w:rsid w:val="00010550"/>
    <w:rsid w:val="00011697"/>
    <w:rsid w:val="000148AF"/>
    <w:rsid w:val="00014D3D"/>
    <w:rsid w:val="00022CF2"/>
    <w:rsid w:val="00031402"/>
    <w:rsid w:val="00032EF9"/>
    <w:rsid w:val="00032F0C"/>
    <w:rsid w:val="000334C9"/>
    <w:rsid w:val="00034BFA"/>
    <w:rsid w:val="00034CD9"/>
    <w:rsid w:val="000365A9"/>
    <w:rsid w:val="00036603"/>
    <w:rsid w:val="0003682B"/>
    <w:rsid w:val="00037E44"/>
    <w:rsid w:val="00040B50"/>
    <w:rsid w:val="00040BEA"/>
    <w:rsid w:val="00041373"/>
    <w:rsid w:val="00041C7D"/>
    <w:rsid w:val="0004454D"/>
    <w:rsid w:val="000455D7"/>
    <w:rsid w:val="00046C5E"/>
    <w:rsid w:val="00047CA9"/>
    <w:rsid w:val="00050170"/>
    <w:rsid w:val="00053DE1"/>
    <w:rsid w:val="00054AC2"/>
    <w:rsid w:val="0005562E"/>
    <w:rsid w:val="00055F5B"/>
    <w:rsid w:val="00056912"/>
    <w:rsid w:val="000569A3"/>
    <w:rsid w:val="00057132"/>
    <w:rsid w:val="00063230"/>
    <w:rsid w:val="000641D8"/>
    <w:rsid w:val="00064EA1"/>
    <w:rsid w:val="00070F10"/>
    <w:rsid w:val="0007120D"/>
    <w:rsid w:val="000712A7"/>
    <w:rsid w:val="0007441A"/>
    <w:rsid w:val="00076396"/>
    <w:rsid w:val="00080460"/>
    <w:rsid w:val="00080EDF"/>
    <w:rsid w:val="00083008"/>
    <w:rsid w:val="00083C55"/>
    <w:rsid w:val="00084CA2"/>
    <w:rsid w:val="0008595F"/>
    <w:rsid w:val="00086A6A"/>
    <w:rsid w:val="00093739"/>
    <w:rsid w:val="000954AF"/>
    <w:rsid w:val="00096C07"/>
    <w:rsid w:val="00096F71"/>
    <w:rsid w:val="000A0277"/>
    <w:rsid w:val="000A0606"/>
    <w:rsid w:val="000A0B7E"/>
    <w:rsid w:val="000A59E5"/>
    <w:rsid w:val="000B0C5D"/>
    <w:rsid w:val="000B4F85"/>
    <w:rsid w:val="000B6E50"/>
    <w:rsid w:val="000B7283"/>
    <w:rsid w:val="000C3C56"/>
    <w:rsid w:val="000C4462"/>
    <w:rsid w:val="000C550A"/>
    <w:rsid w:val="000C63A6"/>
    <w:rsid w:val="000C7100"/>
    <w:rsid w:val="000C790F"/>
    <w:rsid w:val="000D033B"/>
    <w:rsid w:val="000D0CE5"/>
    <w:rsid w:val="000D2AB9"/>
    <w:rsid w:val="000D53EA"/>
    <w:rsid w:val="000D5496"/>
    <w:rsid w:val="000D55E5"/>
    <w:rsid w:val="000E04C7"/>
    <w:rsid w:val="000E22CE"/>
    <w:rsid w:val="000E4DB2"/>
    <w:rsid w:val="000E54D9"/>
    <w:rsid w:val="000E741D"/>
    <w:rsid w:val="000F12C5"/>
    <w:rsid w:val="000F353D"/>
    <w:rsid w:val="000F37CE"/>
    <w:rsid w:val="000F4452"/>
    <w:rsid w:val="000F51D2"/>
    <w:rsid w:val="000F51E4"/>
    <w:rsid w:val="001027C0"/>
    <w:rsid w:val="00104D3D"/>
    <w:rsid w:val="001064BF"/>
    <w:rsid w:val="0011055F"/>
    <w:rsid w:val="00110A50"/>
    <w:rsid w:val="00110D0A"/>
    <w:rsid w:val="00117F3F"/>
    <w:rsid w:val="00123B2D"/>
    <w:rsid w:val="00124B92"/>
    <w:rsid w:val="00127F28"/>
    <w:rsid w:val="00130BDD"/>
    <w:rsid w:val="00131612"/>
    <w:rsid w:val="00132FA9"/>
    <w:rsid w:val="001337AC"/>
    <w:rsid w:val="001356B2"/>
    <w:rsid w:val="00135E56"/>
    <w:rsid w:val="0013752B"/>
    <w:rsid w:val="0014267D"/>
    <w:rsid w:val="0014551E"/>
    <w:rsid w:val="00151E56"/>
    <w:rsid w:val="001529E1"/>
    <w:rsid w:val="00152A49"/>
    <w:rsid w:val="00154394"/>
    <w:rsid w:val="00156182"/>
    <w:rsid w:val="00157809"/>
    <w:rsid w:val="001610B0"/>
    <w:rsid w:val="00163982"/>
    <w:rsid w:val="00163A74"/>
    <w:rsid w:val="001666CD"/>
    <w:rsid w:val="001677FF"/>
    <w:rsid w:val="001735D6"/>
    <w:rsid w:val="00175AC9"/>
    <w:rsid w:val="0017635E"/>
    <w:rsid w:val="00176D71"/>
    <w:rsid w:val="001771A9"/>
    <w:rsid w:val="00180F8D"/>
    <w:rsid w:val="0018227C"/>
    <w:rsid w:val="00183AAE"/>
    <w:rsid w:val="001842D8"/>
    <w:rsid w:val="001865F3"/>
    <w:rsid w:val="00190A7B"/>
    <w:rsid w:val="00190B42"/>
    <w:rsid w:val="001916B1"/>
    <w:rsid w:val="001A12E5"/>
    <w:rsid w:val="001A65A1"/>
    <w:rsid w:val="001B0A43"/>
    <w:rsid w:val="001C1B32"/>
    <w:rsid w:val="001C2466"/>
    <w:rsid w:val="001C5592"/>
    <w:rsid w:val="001D0AC1"/>
    <w:rsid w:val="001D23B2"/>
    <w:rsid w:val="001D4A06"/>
    <w:rsid w:val="001E4C50"/>
    <w:rsid w:val="001E779D"/>
    <w:rsid w:val="001F0164"/>
    <w:rsid w:val="001F2D1B"/>
    <w:rsid w:val="001F4887"/>
    <w:rsid w:val="001F4E62"/>
    <w:rsid w:val="001F60B7"/>
    <w:rsid w:val="00200484"/>
    <w:rsid w:val="00203E6D"/>
    <w:rsid w:val="00204123"/>
    <w:rsid w:val="002048EE"/>
    <w:rsid w:val="0021179F"/>
    <w:rsid w:val="00215B70"/>
    <w:rsid w:val="00216A53"/>
    <w:rsid w:val="00220293"/>
    <w:rsid w:val="002229B8"/>
    <w:rsid w:val="00223DF2"/>
    <w:rsid w:val="0023210B"/>
    <w:rsid w:val="0023491F"/>
    <w:rsid w:val="00235EE9"/>
    <w:rsid w:val="00236DCC"/>
    <w:rsid w:val="00240395"/>
    <w:rsid w:val="00242D50"/>
    <w:rsid w:val="002437CB"/>
    <w:rsid w:val="00251CD2"/>
    <w:rsid w:val="00252605"/>
    <w:rsid w:val="00252833"/>
    <w:rsid w:val="002528DB"/>
    <w:rsid w:val="00253C00"/>
    <w:rsid w:val="00253D93"/>
    <w:rsid w:val="00254DCF"/>
    <w:rsid w:val="0025637A"/>
    <w:rsid w:val="00257862"/>
    <w:rsid w:val="00261669"/>
    <w:rsid w:val="00264A61"/>
    <w:rsid w:val="00265000"/>
    <w:rsid w:val="00266472"/>
    <w:rsid w:val="00267C3B"/>
    <w:rsid w:val="00270BD5"/>
    <w:rsid w:val="00271F64"/>
    <w:rsid w:val="00275F57"/>
    <w:rsid w:val="00276BF7"/>
    <w:rsid w:val="0028336C"/>
    <w:rsid w:val="00283E05"/>
    <w:rsid w:val="0029170A"/>
    <w:rsid w:val="00293755"/>
    <w:rsid w:val="00294906"/>
    <w:rsid w:val="002A14EB"/>
    <w:rsid w:val="002A2EE1"/>
    <w:rsid w:val="002A317B"/>
    <w:rsid w:val="002A339F"/>
    <w:rsid w:val="002A6C99"/>
    <w:rsid w:val="002A7E0D"/>
    <w:rsid w:val="002B3651"/>
    <w:rsid w:val="002B42F5"/>
    <w:rsid w:val="002B5061"/>
    <w:rsid w:val="002B5BCE"/>
    <w:rsid w:val="002B5CC6"/>
    <w:rsid w:val="002B5E00"/>
    <w:rsid w:val="002B73E3"/>
    <w:rsid w:val="002B7415"/>
    <w:rsid w:val="002C2B7E"/>
    <w:rsid w:val="002C47C2"/>
    <w:rsid w:val="002D1DE5"/>
    <w:rsid w:val="002D3C87"/>
    <w:rsid w:val="002D703D"/>
    <w:rsid w:val="002E05FC"/>
    <w:rsid w:val="002E0739"/>
    <w:rsid w:val="002E1233"/>
    <w:rsid w:val="002E3967"/>
    <w:rsid w:val="002E4AB0"/>
    <w:rsid w:val="002E79E1"/>
    <w:rsid w:val="002E79EC"/>
    <w:rsid w:val="002F0C84"/>
    <w:rsid w:val="002F0FB6"/>
    <w:rsid w:val="002F1AE3"/>
    <w:rsid w:val="002F52F5"/>
    <w:rsid w:val="002F6579"/>
    <w:rsid w:val="00301FB5"/>
    <w:rsid w:val="00303457"/>
    <w:rsid w:val="00306829"/>
    <w:rsid w:val="00306F11"/>
    <w:rsid w:val="00310112"/>
    <w:rsid w:val="0031015D"/>
    <w:rsid w:val="00311338"/>
    <w:rsid w:val="00313250"/>
    <w:rsid w:val="003163A9"/>
    <w:rsid w:val="0031717C"/>
    <w:rsid w:val="00317905"/>
    <w:rsid w:val="00321E58"/>
    <w:rsid w:val="00322ED8"/>
    <w:rsid w:val="0032329C"/>
    <w:rsid w:val="003239C3"/>
    <w:rsid w:val="00325F53"/>
    <w:rsid w:val="003267F9"/>
    <w:rsid w:val="00330166"/>
    <w:rsid w:val="003317A3"/>
    <w:rsid w:val="00333A91"/>
    <w:rsid w:val="00334232"/>
    <w:rsid w:val="00335F85"/>
    <w:rsid w:val="00337F1E"/>
    <w:rsid w:val="00342A44"/>
    <w:rsid w:val="0035284D"/>
    <w:rsid w:val="00357032"/>
    <w:rsid w:val="003607B6"/>
    <w:rsid w:val="00361EA2"/>
    <w:rsid w:val="00363713"/>
    <w:rsid w:val="0036429D"/>
    <w:rsid w:val="0036613B"/>
    <w:rsid w:val="00366DD8"/>
    <w:rsid w:val="003672E3"/>
    <w:rsid w:val="00367DB9"/>
    <w:rsid w:val="00370768"/>
    <w:rsid w:val="00370DB2"/>
    <w:rsid w:val="00371172"/>
    <w:rsid w:val="003728D8"/>
    <w:rsid w:val="003735E1"/>
    <w:rsid w:val="003743FF"/>
    <w:rsid w:val="00381F96"/>
    <w:rsid w:val="0038355A"/>
    <w:rsid w:val="003867A0"/>
    <w:rsid w:val="00390DA3"/>
    <w:rsid w:val="00392152"/>
    <w:rsid w:val="00393736"/>
    <w:rsid w:val="00393A97"/>
    <w:rsid w:val="003947B5"/>
    <w:rsid w:val="00395162"/>
    <w:rsid w:val="0039554F"/>
    <w:rsid w:val="0039692F"/>
    <w:rsid w:val="00396BB3"/>
    <w:rsid w:val="00397C6E"/>
    <w:rsid w:val="003A1439"/>
    <w:rsid w:val="003A15B4"/>
    <w:rsid w:val="003A4052"/>
    <w:rsid w:val="003A40CB"/>
    <w:rsid w:val="003A48BB"/>
    <w:rsid w:val="003A53AC"/>
    <w:rsid w:val="003A632A"/>
    <w:rsid w:val="003B0541"/>
    <w:rsid w:val="003B0789"/>
    <w:rsid w:val="003B5515"/>
    <w:rsid w:val="003B5C4B"/>
    <w:rsid w:val="003C0477"/>
    <w:rsid w:val="003C1065"/>
    <w:rsid w:val="003C4204"/>
    <w:rsid w:val="003C500B"/>
    <w:rsid w:val="003C67AE"/>
    <w:rsid w:val="003C704F"/>
    <w:rsid w:val="003D1552"/>
    <w:rsid w:val="003D22F7"/>
    <w:rsid w:val="003D2A56"/>
    <w:rsid w:val="003D4608"/>
    <w:rsid w:val="003D56BE"/>
    <w:rsid w:val="003E07DF"/>
    <w:rsid w:val="003E658C"/>
    <w:rsid w:val="003F0A47"/>
    <w:rsid w:val="003F53CE"/>
    <w:rsid w:val="003F5DCD"/>
    <w:rsid w:val="003F67B7"/>
    <w:rsid w:val="004025F1"/>
    <w:rsid w:val="00402A7E"/>
    <w:rsid w:val="00402DEA"/>
    <w:rsid w:val="004047F8"/>
    <w:rsid w:val="00413751"/>
    <w:rsid w:val="00414CEA"/>
    <w:rsid w:val="004161DE"/>
    <w:rsid w:val="0041678C"/>
    <w:rsid w:val="00422584"/>
    <w:rsid w:val="00425503"/>
    <w:rsid w:val="00425983"/>
    <w:rsid w:val="0043097E"/>
    <w:rsid w:val="0043284B"/>
    <w:rsid w:val="004343CF"/>
    <w:rsid w:val="00434C68"/>
    <w:rsid w:val="00440FE9"/>
    <w:rsid w:val="00442D33"/>
    <w:rsid w:val="00442FE7"/>
    <w:rsid w:val="00443DE2"/>
    <w:rsid w:val="0044565D"/>
    <w:rsid w:val="00445EFC"/>
    <w:rsid w:val="00450CA3"/>
    <w:rsid w:val="00453C17"/>
    <w:rsid w:val="00453DA0"/>
    <w:rsid w:val="00454076"/>
    <w:rsid w:val="004548F1"/>
    <w:rsid w:val="00455150"/>
    <w:rsid w:val="00463367"/>
    <w:rsid w:val="004635DC"/>
    <w:rsid w:val="0046646B"/>
    <w:rsid w:val="00471707"/>
    <w:rsid w:val="00474503"/>
    <w:rsid w:val="00476F4E"/>
    <w:rsid w:val="004772E0"/>
    <w:rsid w:val="00480F7B"/>
    <w:rsid w:val="00481867"/>
    <w:rsid w:val="00482C80"/>
    <w:rsid w:val="00486C9F"/>
    <w:rsid w:val="00490007"/>
    <w:rsid w:val="00493959"/>
    <w:rsid w:val="00494E3B"/>
    <w:rsid w:val="00494F1E"/>
    <w:rsid w:val="00497574"/>
    <w:rsid w:val="00497D01"/>
    <w:rsid w:val="004A049D"/>
    <w:rsid w:val="004A0972"/>
    <w:rsid w:val="004A0C5F"/>
    <w:rsid w:val="004A23BB"/>
    <w:rsid w:val="004A4D82"/>
    <w:rsid w:val="004A72A7"/>
    <w:rsid w:val="004A764A"/>
    <w:rsid w:val="004B2078"/>
    <w:rsid w:val="004B469F"/>
    <w:rsid w:val="004B5CCE"/>
    <w:rsid w:val="004C6712"/>
    <w:rsid w:val="004C68FA"/>
    <w:rsid w:val="004D0B48"/>
    <w:rsid w:val="004D10CC"/>
    <w:rsid w:val="004D115B"/>
    <w:rsid w:val="004D222B"/>
    <w:rsid w:val="004D2831"/>
    <w:rsid w:val="004D4369"/>
    <w:rsid w:val="004D5309"/>
    <w:rsid w:val="004D55CA"/>
    <w:rsid w:val="004D5772"/>
    <w:rsid w:val="004D5BBC"/>
    <w:rsid w:val="004E0157"/>
    <w:rsid w:val="004E1674"/>
    <w:rsid w:val="004E1CF1"/>
    <w:rsid w:val="004E5AFE"/>
    <w:rsid w:val="004E7C0C"/>
    <w:rsid w:val="004F0ADB"/>
    <w:rsid w:val="004F2428"/>
    <w:rsid w:val="004F3616"/>
    <w:rsid w:val="004F3C62"/>
    <w:rsid w:val="004F4B91"/>
    <w:rsid w:val="004F539D"/>
    <w:rsid w:val="004F68E3"/>
    <w:rsid w:val="00500FCE"/>
    <w:rsid w:val="005029FD"/>
    <w:rsid w:val="005059EB"/>
    <w:rsid w:val="005128EC"/>
    <w:rsid w:val="00512A6F"/>
    <w:rsid w:val="00514580"/>
    <w:rsid w:val="00515342"/>
    <w:rsid w:val="00515D4A"/>
    <w:rsid w:val="00516B8D"/>
    <w:rsid w:val="005219BB"/>
    <w:rsid w:val="00522E86"/>
    <w:rsid w:val="00523180"/>
    <w:rsid w:val="00523AA6"/>
    <w:rsid w:val="00525D49"/>
    <w:rsid w:val="0052670A"/>
    <w:rsid w:val="005267F8"/>
    <w:rsid w:val="005302DA"/>
    <w:rsid w:val="005343BD"/>
    <w:rsid w:val="00534E1D"/>
    <w:rsid w:val="00536DC4"/>
    <w:rsid w:val="00541882"/>
    <w:rsid w:val="00541A3F"/>
    <w:rsid w:val="00543F2B"/>
    <w:rsid w:val="00544211"/>
    <w:rsid w:val="00550EFA"/>
    <w:rsid w:val="005525C5"/>
    <w:rsid w:val="00553D5F"/>
    <w:rsid w:val="00554277"/>
    <w:rsid w:val="00555B76"/>
    <w:rsid w:val="00564FFE"/>
    <w:rsid w:val="005656BE"/>
    <w:rsid w:val="00566B36"/>
    <w:rsid w:val="00570914"/>
    <w:rsid w:val="005744EA"/>
    <w:rsid w:val="00574705"/>
    <w:rsid w:val="005774EF"/>
    <w:rsid w:val="00580832"/>
    <w:rsid w:val="005832A3"/>
    <w:rsid w:val="0058441A"/>
    <w:rsid w:val="00585AA4"/>
    <w:rsid w:val="0058643E"/>
    <w:rsid w:val="00587458"/>
    <w:rsid w:val="005932DE"/>
    <w:rsid w:val="0059427A"/>
    <w:rsid w:val="005965CC"/>
    <w:rsid w:val="005A110A"/>
    <w:rsid w:val="005A4764"/>
    <w:rsid w:val="005A4E12"/>
    <w:rsid w:val="005A5251"/>
    <w:rsid w:val="005A5AF3"/>
    <w:rsid w:val="005A6F2C"/>
    <w:rsid w:val="005A7032"/>
    <w:rsid w:val="005B1859"/>
    <w:rsid w:val="005B2597"/>
    <w:rsid w:val="005B4421"/>
    <w:rsid w:val="005B4A8B"/>
    <w:rsid w:val="005C2C26"/>
    <w:rsid w:val="005C4247"/>
    <w:rsid w:val="005C4851"/>
    <w:rsid w:val="005C4E87"/>
    <w:rsid w:val="005C507B"/>
    <w:rsid w:val="005C5848"/>
    <w:rsid w:val="005C75D7"/>
    <w:rsid w:val="005D3F26"/>
    <w:rsid w:val="005D505F"/>
    <w:rsid w:val="005D64B8"/>
    <w:rsid w:val="005D6954"/>
    <w:rsid w:val="005D7828"/>
    <w:rsid w:val="005E405D"/>
    <w:rsid w:val="005E4F8D"/>
    <w:rsid w:val="005E6606"/>
    <w:rsid w:val="005E712E"/>
    <w:rsid w:val="005E7695"/>
    <w:rsid w:val="005F2C3B"/>
    <w:rsid w:val="005F421E"/>
    <w:rsid w:val="005F5AB6"/>
    <w:rsid w:val="005F6DFA"/>
    <w:rsid w:val="006041A5"/>
    <w:rsid w:val="00607035"/>
    <w:rsid w:val="00614533"/>
    <w:rsid w:val="00614C41"/>
    <w:rsid w:val="00620E40"/>
    <w:rsid w:val="00621417"/>
    <w:rsid w:val="0062282B"/>
    <w:rsid w:val="006267A8"/>
    <w:rsid w:val="00626C75"/>
    <w:rsid w:val="00627A42"/>
    <w:rsid w:val="00630B8D"/>
    <w:rsid w:val="00630DAA"/>
    <w:rsid w:val="006351A7"/>
    <w:rsid w:val="00635F02"/>
    <w:rsid w:val="00637F31"/>
    <w:rsid w:val="006400BC"/>
    <w:rsid w:val="006425DA"/>
    <w:rsid w:val="0064499C"/>
    <w:rsid w:val="006466FF"/>
    <w:rsid w:val="006504AC"/>
    <w:rsid w:val="0065103A"/>
    <w:rsid w:val="0065620C"/>
    <w:rsid w:val="00657CFA"/>
    <w:rsid w:val="006602D5"/>
    <w:rsid w:val="00672C92"/>
    <w:rsid w:val="00675333"/>
    <w:rsid w:val="006754A0"/>
    <w:rsid w:val="00680C21"/>
    <w:rsid w:val="00682530"/>
    <w:rsid w:val="00683A37"/>
    <w:rsid w:val="006841E4"/>
    <w:rsid w:val="00685E32"/>
    <w:rsid w:val="00687F4E"/>
    <w:rsid w:val="006902FE"/>
    <w:rsid w:val="00690CEA"/>
    <w:rsid w:val="006917C6"/>
    <w:rsid w:val="0069259F"/>
    <w:rsid w:val="00692903"/>
    <w:rsid w:val="00696019"/>
    <w:rsid w:val="0069627E"/>
    <w:rsid w:val="006A128F"/>
    <w:rsid w:val="006A32BE"/>
    <w:rsid w:val="006B4F16"/>
    <w:rsid w:val="006C06A7"/>
    <w:rsid w:val="006C187A"/>
    <w:rsid w:val="006C466D"/>
    <w:rsid w:val="006D2C03"/>
    <w:rsid w:val="006D6EE2"/>
    <w:rsid w:val="006D704C"/>
    <w:rsid w:val="006E0044"/>
    <w:rsid w:val="006E0373"/>
    <w:rsid w:val="006E10E0"/>
    <w:rsid w:val="006E18A6"/>
    <w:rsid w:val="006E41C0"/>
    <w:rsid w:val="006F0D34"/>
    <w:rsid w:val="006F1879"/>
    <w:rsid w:val="006F257A"/>
    <w:rsid w:val="006F257C"/>
    <w:rsid w:val="006F28AE"/>
    <w:rsid w:val="006F764F"/>
    <w:rsid w:val="007023D1"/>
    <w:rsid w:val="0070360A"/>
    <w:rsid w:val="007042FE"/>
    <w:rsid w:val="00704F06"/>
    <w:rsid w:val="00704F2A"/>
    <w:rsid w:val="00711468"/>
    <w:rsid w:val="007132D5"/>
    <w:rsid w:val="00717475"/>
    <w:rsid w:val="00720B4C"/>
    <w:rsid w:val="007237F2"/>
    <w:rsid w:val="00725419"/>
    <w:rsid w:val="00731991"/>
    <w:rsid w:val="00732B89"/>
    <w:rsid w:val="00734394"/>
    <w:rsid w:val="00734637"/>
    <w:rsid w:val="007372D7"/>
    <w:rsid w:val="00742064"/>
    <w:rsid w:val="00744E20"/>
    <w:rsid w:val="0074507F"/>
    <w:rsid w:val="007457B6"/>
    <w:rsid w:val="00747458"/>
    <w:rsid w:val="00750D0F"/>
    <w:rsid w:val="00753436"/>
    <w:rsid w:val="0075473B"/>
    <w:rsid w:val="0075536C"/>
    <w:rsid w:val="00760A6C"/>
    <w:rsid w:val="007615AA"/>
    <w:rsid w:val="00762441"/>
    <w:rsid w:val="00765D28"/>
    <w:rsid w:val="00771734"/>
    <w:rsid w:val="00773D76"/>
    <w:rsid w:val="00781777"/>
    <w:rsid w:val="007835E9"/>
    <w:rsid w:val="0078403A"/>
    <w:rsid w:val="00784C7C"/>
    <w:rsid w:val="00785F08"/>
    <w:rsid w:val="007877E8"/>
    <w:rsid w:val="0079004F"/>
    <w:rsid w:val="00790BE4"/>
    <w:rsid w:val="007919E5"/>
    <w:rsid w:val="00791E75"/>
    <w:rsid w:val="00792E1C"/>
    <w:rsid w:val="00793541"/>
    <w:rsid w:val="00793827"/>
    <w:rsid w:val="00794073"/>
    <w:rsid w:val="00796559"/>
    <w:rsid w:val="007969EF"/>
    <w:rsid w:val="00796F56"/>
    <w:rsid w:val="00797A11"/>
    <w:rsid w:val="007A3013"/>
    <w:rsid w:val="007A3E18"/>
    <w:rsid w:val="007A7009"/>
    <w:rsid w:val="007B0E40"/>
    <w:rsid w:val="007B3E52"/>
    <w:rsid w:val="007B6C56"/>
    <w:rsid w:val="007B7C39"/>
    <w:rsid w:val="007C21A7"/>
    <w:rsid w:val="007C523C"/>
    <w:rsid w:val="007D290F"/>
    <w:rsid w:val="007D37A5"/>
    <w:rsid w:val="007D4485"/>
    <w:rsid w:val="007D50C4"/>
    <w:rsid w:val="007D6DE8"/>
    <w:rsid w:val="007E0AB4"/>
    <w:rsid w:val="007E3AB0"/>
    <w:rsid w:val="007E5200"/>
    <w:rsid w:val="007E5228"/>
    <w:rsid w:val="007E62AE"/>
    <w:rsid w:val="007E6F7D"/>
    <w:rsid w:val="007E729C"/>
    <w:rsid w:val="007F034D"/>
    <w:rsid w:val="007F285C"/>
    <w:rsid w:val="007F55D3"/>
    <w:rsid w:val="007F7638"/>
    <w:rsid w:val="007F7F1B"/>
    <w:rsid w:val="00804481"/>
    <w:rsid w:val="008067F1"/>
    <w:rsid w:val="0080729E"/>
    <w:rsid w:val="00810CF1"/>
    <w:rsid w:val="00816625"/>
    <w:rsid w:val="008201AC"/>
    <w:rsid w:val="00821E8E"/>
    <w:rsid w:val="00823A15"/>
    <w:rsid w:val="00825319"/>
    <w:rsid w:val="00827E04"/>
    <w:rsid w:val="00831344"/>
    <w:rsid w:val="00832FEB"/>
    <w:rsid w:val="008411CD"/>
    <w:rsid w:val="0084500C"/>
    <w:rsid w:val="008465F2"/>
    <w:rsid w:val="00852B4E"/>
    <w:rsid w:val="00854499"/>
    <w:rsid w:val="00855503"/>
    <w:rsid w:val="008555E2"/>
    <w:rsid w:val="008562B4"/>
    <w:rsid w:val="008632E7"/>
    <w:rsid w:val="00864726"/>
    <w:rsid w:val="0086680F"/>
    <w:rsid w:val="00870339"/>
    <w:rsid w:val="008726C4"/>
    <w:rsid w:val="00872AC6"/>
    <w:rsid w:val="00874A95"/>
    <w:rsid w:val="00874E14"/>
    <w:rsid w:val="00880D17"/>
    <w:rsid w:val="00882813"/>
    <w:rsid w:val="00882A44"/>
    <w:rsid w:val="0088433D"/>
    <w:rsid w:val="00884A14"/>
    <w:rsid w:val="00886105"/>
    <w:rsid w:val="0089100E"/>
    <w:rsid w:val="00891BE9"/>
    <w:rsid w:val="008939B3"/>
    <w:rsid w:val="00894FA4"/>
    <w:rsid w:val="008954D7"/>
    <w:rsid w:val="008958C6"/>
    <w:rsid w:val="008A39BE"/>
    <w:rsid w:val="008A4097"/>
    <w:rsid w:val="008A47FA"/>
    <w:rsid w:val="008A64CB"/>
    <w:rsid w:val="008B782A"/>
    <w:rsid w:val="008B7D17"/>
    <w:rsid w:val="008C18E0"/>
    <w:rsid w:val="008C2CFF"/>
    <w:rsid w:val="008C67FD"/>
    <w:rsid w:val="008D782B"/>
    <w:rsid w:val="008D7F93"/>
    <w:rsid w:val="008E3B82"/>
    <w:rsid w:val="008E4727"/>
    <w:rsid w:val="008E4E48"/>
    <w:rsid w:val="008E5CE8"/>
    <w:rsid w:val="008E5FEF"/>
    <w:rsid w:val="008E6A37"/>
    <w:rsid w:val="008F0D6A"/>
    <w:rsid w:val="008F16B0"/>
    <w:rsid w:val="008F35FB"/>
    <w:rsid w:val="008F46D9"/>
    <w:rsid w:val="008F524C"/>
    <w:rsid w:val="008F7737"/>
    <w:rsid w:val="008F7C6D"/>
    <w:rsid w:val="009005FB"/>
    <w:rsid w:val="00902731"/>
    <w:rsid w:val="00904ED8"/>
    <w:rsid w:val="00910C43"/>
    <w:rsid w:val="0091625F"/>
    <w:rsid w:val="00917C83"/>
    <w:rsid w:val="00920613"/>
    <w:rsid w:val="00921FAD"/>
    <w:rsid w:val="00922C07"/>
    <w:rsid w:val="00922D59"/>
    <w:rsid w:val="00926591"/>
    <w:rsid w:val="00926668"/>
    <w:rsid w:val="009327B8"/>
    <w:rsid w:val="009425B8"/>
    <w:rsid w:val="00943FCA"/>
    <w:rsid w:val="00944E3F"/>
    <w:rsid w:val="0094580B"/>
    <w:rsid w:val="00947368"/>
    <w:rsid w:val="00955A24"/>
    <w:rsid w:val="00955FFE"/>
    <w:rsid w:val="0095698A"/>
    <w:rsid w:val="0095729B"/>
    <w:rsid w:val="00961110"/>
    <w:rsid w:val="00964E2F"/>
    <w:rsid w:val="009653B3"/>
    <w:rsid w:val="009715E6"/>
    <w:rsid w:val="00972D15"/>
    <w:rsid w:val="0097463E"/>
    <w:rsid w:val="00975184"/>
    <w:rsid w:val="00981085"/>
    <w:rsid w:val="00981255"/>
    <w:rsid w:val="00982134"/>
    <w:rsid w:val="00982419"/>
    <w:rsid w:val="00990DE3"/>
    <w:rsid w:val="009A2394"/>
    <w:rsid w:val="009A4908"/>
    <w:rsid w:val="009A72AD"/>
    <w:rsid w:val="009A7A24"/>
    <w:rsid w:val="009B1A6F"/>
    <w:rsid w:val="009B4605"/>
    <w:rsid w:val="009B4BF6"/>
    <w:rsid w:val="009B4DB8"/>
    <w:rsid w:val="009B5C76"/>
    <w:rsid w:val="009C067B"/>
    <w:rsid w:val="009C4205"/>
    <w:rsid w:val="009C6851"/>
    <w:rsid w:val="009D0FB7"/>
    <w:rsid w:val="009D4CDE"/>
    <w:rsid w:val="009D6621"/>
    <w:rsid w:val="009D781E"/>
    <w:rsid w:val="009E1A02"/>
    <w:rsid w:val="009E1EF1"/>
    <w:rsid w:val="009E22C8"/>
    <w:rsid w:val="009E2A47"/>
    <w:rsid w:val="009E4675"/>
    <w:rsid w:val="009E6C11"/>
    <w:rsid w:val="009F1312"/>
    <w:rsid w:val="009F1CED"/>
    <w:rsid w:val="009F3ECE"/>
    <w:rsid w:val="009F481D"/>
    <w:rsid w:val="009F4C29"/>
    <w:rsid w:val="009F5937"/>
    <w:rsid w:val="009F64A9"/>
    <w:rsid w:val="009F70F2"/>
    <w:rsid w:val="009F7D1E"/>
    <w:rsid w:val="00A01424"/>
    <w:rsid w:val="00A019D4"/>
    <w:rsid w:val="00A02F36"/>
    <w:rsid w:val="00A060B8"/>
    <w:rsid w:val="00A06485"/>
    <w:rsid w:val="00A10AF4"/>
    <w:rsid w:val="00A11C85"/>
    <w:rsid w:val="00A143ED"/>
    <w:rsid w:val="00A15893"/>
    <w:rsid w:val="00A175BB"/>
    <w:rsid w:val="00A2198E"/>
    <w:rsid w:val="00A22538"/>
    <w:rsid w:val="00A24683"/>
    <w:rsid w:val="00A26E98"/>
    <w:rsid w:val="00A27FB3"/>
    <w:rsid w:val="00A30348"/>
    <w:rsid w:val="00A3197C"/>
    <w:rsid w:val="00A33ED1"/>
    <w:rsid w:val="00A34508"/>
    <w:rsid w:val="00A405FE"/>
    <w:rsid w:val="00A45334"/>
    <w:rsid w:val="00A454E8"/>
    <w:rsid w:val="00A45586"/>
    <w:rsid w:val="00A45EEF"/>
    <w:rsid w:val="00A460D5"/>
    <w:rsid w:val="00A46A1D"/>
    <w:rsid w:val="00A473E2"/>
    <w:rsid w:val="00A509A1"/>
    <w:rsid w:val="00A50CCD"/>
    <w:rsid w:val="00A5305A"/>
    <w:rsid w:val="00A542A8"/>
    <w:rsid w:val="00A54E49"/>
    <w:rsid w:val="00A56097"/>
    <w:rsid w:val="00A613B2"/>
    <w:rsid w:val="00A64794"/>
    <w:rsid w:val="00A65C95"/>
    <w:rsid w:val="00A662A2"/>
    <w:rsid w:val="00A70875"/>
    <w:rsid w:val="00A71EC3"/>
    <w:rsid w:val="00A73C3D"/>
    <w:rsid w:val="00A75337"/>
    <w:rsid w:val="00A80DC5"/>
    <w:rsid w:val="00A81F0A"/>
    <w:rsid w:val="00A82E3B"/>
    <w:rsid w:val="00A84CFF"/>
    <w:rsid w:val="00A8588E"/>
    <w:rsid w:val="00A85E22"/>
    <w:rsid w:val="00A87A3F"/>
    <w:rsid w:val="00A87E03"/>
    <w:rsid w:val="00A90FBE"/>
    <w:rsid w:val="00A91305"/>
    <w:rsid w:val="00A96118"/>
    <w:rsid w:val="00A966BF"/>
    <w:rsid w:val="00A972BB"/>
    <w:rsid w:val="00AA0F57"/>
    <w:rsid w:val="00AA232B"/>
    <w:rsid w:val="00AA34DC"/>
    <w:rsid w:val="00AA4331"/>
    <w:rsid w:val="00AA776E"/>
    <w:rsid w:val="00AB0759"/>
    <w:rsid w:val="00AB357A"/>
    <w:rsid w:val="00AB3A1E"/>
    <w:rsid w:val="00AB4992"/>
    <w:rsid w:val="00AB698B"/>
    <w:rsid w:val="00AC20C9"/>
    <w:rsid w:val="00AD0556"/>
    <w:rsid w:val="00AD082E"/>
    <w:rsid w:val="00AD15CE"/>
    <w:rsid w:val="00AD23EF"/>
    <w:rsid w:val="00AD3E6E"/>
    <w:rsid w:val="00AD44C8"/>
    <w:rsid w:val="00AD4929"/>
    <w:rsid w:val="00AD5BA0"/>
    <w:rsid w:val="00AD71A0"/>
    <w:rsid w:val="00AE0241"/>
    <w:rsid w:val="00AE5274"/>
    <w:rsid w:val="00AE5970"/>
    <w:rsid w:val="00AF0E2A"/>
    <w:rsid w:val="00AF137C"/>
    <w:rsid w:val="00AF36BC"/>
    <w:rsid w:val="00AF7A7E"/>
    <w:rsid w:val="00B01362"/>
    <w:rsid w:val="00B0173E"/>
    <w:rsid w:val="00B02B09"/>
    <w:rsid w:val="00B05C88"/>
    <w:rsid w:val="00B17E1F"/>
    <w:rsid w:val="00B20675"/>
    <w:rsid w:val="00B22197"/>
    <w:rsid w:val="00B22C3A"/>
    <w:rsid w:val="00B36DB5"/>
    <w:rsid w:val="00B40B0E"/>
    <w:rsid w:val="00B43320"/>
    <w:rsid w:val="00B4354E"/>
    <w:rsid w:val="00B4368D"/>
    <w:rsid w:val="00B43FA5"/>
    <w:rsid w:val="00B43FCA"/>
    <w:rsid w:val="00B4661B"/>
    <w:rsid w:val="00B468F7"/>
    <w:rsid w:val="00B46FA6"/>
    <w:rsid w:val="00B50F98"/>
    <w:rsid w:val="00B51A81"/>
    <w:rsid w:val="00B525F9"/>
    <w:rsid w:val="00B57089"/>
    <w:rsid w:val="00B60347"/>
    <w:rsid w:val="00B608CC"/>
    <w:rsid w:val="00B627D6"/>
    <w:rsid w:val="00B648AE"/>
    <w:rsid w:val="00B65531"/>
    <w:rsid w:val="00B659D5"/>
    <w:rsid w:val="00B6686C"/>
    <w:rsid w:val="00B7283A"/>
    <w:rsid w:val="00B74431"/>
    <w:rsid w:val="00B80167"/>
    <w:rsid w:val="00B801AF"/>
    <w:rsid w:val="00B810A0"/>
    <w:rsid w:val="00B81188"/>
    <w:rsid w:val="00B830CF"/>
    <w:rsid w:val="00B94B2A"/>
    <w:rsid w:val="00B9542C"/>
    <w:rsid w:val="00B967EE"/>
    <w:rsid w:val="00B97A3B"/>
    <w:rsid w:val="00BA02AE"/>
    <w:rsid w:val="00BA43BF"/>
    <w:rsid w:val="00BA4E9E"/>
    <w:rsid w:val="00BA51C5"/>
    <w:rsid w:val="00BB159A"/>
    <w:rsid w:val="00BB2D3D"/>
    <w:rsid w:val="00BB4086"/>
    <w:rsid w:val="00BB60B4"/>
    <w:rsid w:val="00BC182B"/>
    <w:rsid w:val="00BC7AF8"/>
    <w:rsid w:val="00BD1144"/>
    <w:rsid w:val="00BD11FF"/>
    <w:rsid w:val="00BD171D"/>
    <w:rsid w:val="00BD2F79"/>
    <w:rsid w:val="00BD38A9"/>
    <w:rsid w:val="00BD3C3F"/>
    <w:rsid w:val="00BD4BA6"/>
    <w:rsid w:val="00BD4CCC"/>
    <w:rsid w:val="00BD5DF7"/>
    <w:rsid w:val="00BD5FA9"/>
    <w:rsid w:val="00BD7BD0"/>
    <w:rsid w:val="00BE2D24"/>
    <w:rsid w:val="00BE438A"/>
    <w:rsid w:val="00BE58B7"/>
    <w:rsid w:val="00BF1B19"/>
    <w:rsid w:val="00BF3179"/>
    <w:rsid w:val="00BF6EC7"/>
    <w:rsid w:val="00BF7834"/>
    <w:rsid w:val="00C018DD"/>
    <w:rsid w:val="00C02235"/>
    <w:rsid w:val="00C02CB8"/>
    <w:rsid w:val="00C04C94"/>
    <w:rsid w:val="00C055BF"/>
    <w:rsid w:val="00C07889"/>
    <w:rsid w:val="00C11B29"/>
    <w:rsid w:val="00C14FB2"/>
    <w:rsid w:val="00C2227E"/>
    <w:rsid w:val="00C22F58"/>
    <w:rsid w:val="00C23D69"/>
    <w:rsid w:val="00C2702E"/>
    <w:rsid w:val="00C34293"/>
    <w:rsid w:val="00C35611"/>
    <w:rsid w:val="00C35ABD"/>
    <w:rsid w:val="00C40061"/>
    <w:rsid w:val="00C4210B"/>
    <w:rsid w:val="00C42C0E"/>
    <w:rsid w:val="00C431F5"/>
    <w:rsid w:val="00C43D2C"/>
    <w:rsid w:val="00C442A7"/>
    <w:rsid w:val="00C4445A"/>
    <w:rsid w:val="00C451B6"/>
    <w:rsid w:val="00C45BF4"/>
    <w:rsid w:val="00C47A9C"/>
    <w:rsid w:val="00C52BBB"/>
    <w:rsid w:val="00C55D37"/>
    <w:rsid w:val="00C575F0"/>
    <w:rsid w:val="00C57A00"/>
    <w:rsid w:val="00C633A1"/>
    <w:rsid w:val="00C672F4"/>
    <w:rsid w:val="00C67CE8"/>
    <w:rsid w:val="00C70614"/>
    <w:rsid w:val="00C74CE2"/>
    <w:rsid w:val="00C77F72"/>
    <w:rsid w:val="00C80A39"/>
    <w:rsid w:val="00C81843"/>
    <w:rsid w:val="00C84417"/>
    <w:rsid w:val="00C863FD"/>
    <w:rsid w:val="00C87EFA"/>
    <w:rsid w:val="00C90CD2"/>
    <w:rsid w:val="00C91A7D"/>
    <w:rsid w:val="00C9276B"/>
    <w:rsid w:val="00C931A7"/>
    <w:rsid w:val="00C9736D"/>
    <w:rsid w:val="00CA2F1B"/>
    <w:rsid w:val="00CA51E9"/>
    <w:rsid w:val="00CA6003"/>
    <w:rsid w:val="00CA6CBD"/>
    <w:rsid w:val="00CB0E68"/>
    <w:rsid w:val="00CB24E5"/>
    <w:rsid w:val="00CB3162"/>
    <w:rsid w:val="00CB3179"/>
    <w:rsid w:val="00CB3B24"/>
    <w:rsid w:val="00CB5984"/>
    <w:rsid w:val="00CB6BF0"/>
    <w:rsid w:val="00CC071A"/>
    <w:rsid w:val="00CC2814"/>
    <w:rsid w:val="00CD1694"/>
    <w:rsid w:val="00CD4BF3"/>
    <w:rsid w:val="00CD5395"/>
    <w:rsid w:val="00CD57DB"/>
    <w:rsid w:val="00CE2325"/>
    <w:rsid w:val="00CE3264"/>
    <w:rsid w:val="00CE3F32"/>
    <w:rsid w:val="00CE7EC6"/>
    <w:rsid w:val="00CF0FBE"/>
    <w:rsid w:val="00CF2725"/>
    <w:rsid w:val="00CF6DFF"/>
    <w:rsid w:val="00CF74C5"/>
    <w:rsid w:val="00D00D94"/>
    <w:rsid w:val="00D04724"/>
    <w:rsid w:val="00D05600"/>
    <w:rsid w:val="00D056E3"/>
    <w:rsid w:val="00D07867"/>
    <w:rsid w:val="00D11483"/>
    <w:rsid w:val="00D128C2"/>
    <w:rsid w:val="00D14FD9"/>
    <w:rsid w:val="00D15A22"/>
    <w:rsid w:val="00D15BDD"/>
    <w:rsid w:val="00D1675F"/>
    <w:rsid w:val="00D17704"/>
    <w:rsid w:val="00D22099"/>
    <w:rsid w:val="00D25445"/>
    <w:rsid w:val="00D3198D"/>
    <w:rsid w:val="00D324E7"/>
    <w:rsid w:val="00D33A3E"/>
    <w:rsid w:val="00D349A8"/>
    <w:rsid w:val="00D35CA8"/>
    <w:rsid w:val="00D423BC"/>
    <w:rsid w:val="00D42E1B"/>
    <w:rsid w:val="00D43E85"/>
    <w:rsid w:val="00D472E7"/>
    <w:rsid w:val="00D479CF"/>
    <w:rsid w:val="00D52521"/>
    <w:rsid w:val="00D539A6"/>
    <w:rsid w:val="00D53B4F"/>
    <w:rsid w:val="00D600B7"/>
    <w:rsid w:val="00D65336"/>
    <w:rsid w:val="00D670FB"/>
    <w:rsid w:val="00D67761"/>
    <w:rsid w:val="00D71928"/>
    <w:rsid w:val="00D72179"/>
    <w:rsid w:val="00D728A4"/>
    <w:rsid w:val="00D737C8"/>
    <w:rsid w:val="00D74072"/>
    <w:rsid w:val="00D76078"/>
    <w:rsid w:val="00D76DBE"/>
    <w:rsid w:val="00D81041"/>
    <w:rsid w:val="00D82EF8"/>
    <w:rsid w:val="00D85C7D"/>
    <w:rsid w:val="00D85FB4"/>
    <w:rsid w:val="00D93A78"/>
    <w:rsid w:val="00DA0295"/>
    <w:rsid w:val="00DA1576"/>
    <w:rsid w:val="00DA27D5"/>
    <w:rsid w:val="00DA48BF"/>
    <w:rsid w:val="00DA7A3F"/>
    <w:rsid w:val="00DA7BA4"/>
    <w:rsid w:val="00DB241E"/>
    <w:rsid w:val="00DB254C"/>
    <w:rsid w:val="00DB4ED9"/>
    <w:rsid w:val="00DB6EA2"/>
    <w:rsid w:val="00DB7F06"/>
    <w:rsid w:val="00DC06BD"/>
    <w:rsid w:val="00DC5BBD"/>
    <w:rsid w:val="00DC7206"/>
    <w:rsid w:val="00DC7583"/>
    <w:rsid w:val="00DD0164"/>
    <w:rsid w:val="00DD0209"/>
    <w:rsid w:val="00DD2F22"/>
    <w:rsid w:val="00DE04A3"/>
    <w:rsid w:val="00DE0AB5"/>
    <w:rsid w:val="00DE1106"/>
    <w:rsid w:val="00DE2A56"/>
    <w:rsid w:val="00DE46E7"/>
    <w:rsid w:val="00DE609B"/>
    <w:rsid w:val="00DF2AFE"/>
    <w:rsid w:val="00DF55D5"/>
    <w:rsid w:val="00DF6DD3"/>
    <w:rsid w:val="00DF79CC"/>
    <w:rsid w:val="00E00047"/>
    <w:rsid w:val="00E00096"/>
    <w:rsid w:val="00E03F3A"/>
    <w:rsid w:val="00E0443F"/>
    <w:rsid w:val="00E047D4"/>
    <w:rsid w:val="00E04928"/>
    <w:rsid w:val="00E0643F"/>
    <w:rsid w:val="00E06592"/>
    <w:rsid w:val="00E10F8A"/>
    <w:rsid w:val="00E11477"/>
    <w:rsid w:val="00E12E1E"/>
    <w:rsid w:val="00E17220"/>
    <w:rsid w:val="00E214F2"/>
    <w:rsid w:val="00E30790"/>
    <w:rsid w:val="00E32E8C"/>
    <w:rsid w:val="00E33BFB"/>
    <w:rsid w:val="00E346C2"/>
    <w:rsid w:val="00E34A6A"/>
    <w:rsid w:val="00E35558"/>
    <w:rsid w:val="00E35F0F"/>
    <w:rsid w:val="00E36775"/>
    <w:rsid w:val="00E373EA"/>
    <w:rsid w:val="00E37EC2"/>
    <w:rsid w:val="00E400E3"/>
    <w:rsid w:val="00E41127"/>
    <w:rsid w:val="00E43D84"/>
    <w:rsid w:val="00E44094"/>
    <w:rsid w:val="00E51025"/>
    <w:rsid w:val="00E651A5"/>
    <w:rsid w:val="00E747CF"/>
    <w:rsid w:val="00E74FE8"/>
    <w:rsid w:val="00E75E95"/>
    <w:rsid w:val="00E770D8"/>
    <w:rsid w:val="00E80B48"/>
    <w:rsid w:val="00E80EB9"/>
    <w:rsid w:val="00E83129"/>
    <w:rsid w:val="00E83266"/>
    <w:rsid w:val="00E87EF7"/>
    <w:rsid w:val="00E90038"/>
    <w:rsid w:val="00E926D3"/>
    <w:rsid w:val="00E92FF5"/>
    <w:rsid w:val="00E9494B"/>
    <w:rsid w:val="00E9502B"/>
    <w:rsid w:val="00E95C7D"/>
    <w:rsid w:val="00EA0EFE"/>
    <w:rsid w:val="00EA2004"/>
    <w:rsid w:val="00EA5116"/>
    <w:rsid w:val="00EA74A8"/>
    <w:rsid w:val="00EB466A"/>
    <w:rsid w:val="00EC04D4"/>
    <w:rsid w:val="00EC17D7"/>
    <w:rsid w:val="00ED1C9A"/>
    <w:rsid w:val="00ED36D0"/>
    <w:rsid w:val="00ED675C"/>
    <w:rsid w:val="00ED6B43"/>
    <w:rsid w:val="00ED6E63"/>
    <w:rsid w:val="00ED705D"/>
    <w:rsid w:val="00ED7BBF"/>
    <w:rsid w:val="00EE00EC"/>
    <w:rsid w:val="00EE03F3"/>
    <w:rsid w:val="00EE0492"/>
    <w:rsid w:val="00EE2860"/>
    <w:rsid w:val="00EE4E5B"/>
    <w:rsid w:val="00EE5913"/>
    <w:rsid w:val="00EF2D58"/>
    <w:rsid w:val="00EF3EC3"/>
    <w:rsid w:val="00EF4711"/>
    <w:rsid w:val="00F0519D"/>
    <w:rsid w:val="00F06628"/>
    <w:rsid w:val="00F122E0"/>
    <w:rsid w:val="00F125DD"/>
    <w:rsid w:val="00F1570B"/>
    <w:rsid w:val="00F16AB6"/>
    <w:rsid w:val="00F171CE"/>
    <w:rsid w:val="00F22829"/>
    <w:rsid w:val="00F23B90"/>
    <w:rsid w:val="00F305F7"/>
    <w:rsid w:val="00F308F6"/>
    <w:rsid w:val="00F30A51"/>
    <w:rsid w:val="00F3465F"/>
    <w:rsid w:val="00F43235"/>
    <w:rsid w:val="00F44BCF"/>
    <w:rsid w:val="00F44CEE"/>
    <w:rsid w:val="00F46BBB"/>
    <w:rsid w:val="00F46E4B"/>
    <w:rsid w:val="00F47DAF"/>
    <w:rsid w:val="00F51F74"/>
    <w:rsid w:val="00F54029"/>
    <w:rsid w:val="00F547AF"/>
    <w:rsid w:val="00F636A2"/>
    <w:rsid w:val="00F647B4"/>
    <w:rsid w:val="00F64820"/>
    <w:rsid w:val="00F67BAF"/>
    <w:rsid w:val="00F7037D"/>
    <w:rsid w:val="00F75A99"/>
    <w:rsid w:val="00F76E4C"/>
    <w:rsid w:val="00F809D2"/>
    <w:rsid w:val="00F844B3"/>
    <w:rsid w:val="00F93137"/>
    <w:rsid w:val="00F94344"/>
    <w:rsid w:val="00F9507D"/>
    <w:rsid w:val="00F97521"/>
    <w:rsid w:val="00FA59E7"/>
    <w:rsid w:val="00FA5CF0"/>
    <w:rsid w:val="00FA79F5"/>
    <w:rsid w:val="00FAE887"/>
    <w:rsid w:val="00FB1F8A"/>
    <w:rsid w:val="00FB4AAD"/>
    <w:rsid w:val="00FB65F5"/>
    <w:rsid w:val="00FB7736"/>
    <w:rsid w:val="00FC1B46"/>
    <w:rsid w:val="00FC7410"/>
    <w:rsid w:val="00FD15D4"/>
    <w:rsid w:val="00FD4701"/>
    <w:rsid w:val="00FD5C9D"/>
    <w:rsid w:val="00FD5DBD"/>
    <w:rsid w:val="00FE1ED5"/>
    <w:rsid w:val="00FE2304"/>
    <w:rsid w:val="00FE257A"/>
    <w:rsid w:val="00FE3799"/>
    <w:rsid w:val="00FE5015"/>
    <w:rsid w:val="00FE7578"/>
    <w:rsid w:val="00FF3061"/>
    <w:rsid w:val="00FF3475"/>
    <w:rsid w:val="00FF5132"/>
    <w:rsid w:val="00FF5427"/>
    <w:rsid w:val="00FF75FC"/>
    <w:rsid w:val="013304FD"/>
    <w:rsid w:val="0133B21F"/>
    <w:rsid w:val="01618F9C"/>
    <w:rsid w:val="018BCB14"/>
    <w:rsid w:val="01AAD0B1"/>
    <w:rsid w:val="01BAFD08"/>
    <w:rsid w:val="01C85B62"/>
    <w:rsid w:val="01E42131"/>
    <w:rsid w:val="01E91BD4"/>
    <w:rsid w:val="020ED7ED"/>
    <w:rsid w:val="02314A46"/>
    <w:rsid w:val="024DAC66"/>
    <w:rsid w:val="0254BFBA"/>
    <w:rsid w:val="02639E95"/>
    <w:rsid w:val="028EFF2E"/>
    <w:rsid w:val="02939AB0"/>
    <w:rsid w:val="0296B8E8"/>
    <w:rsid w:val="02B031FF"/>
    <w:rsid w:val="034211A0"/>
    <w:rsid w:val="035FDC39"/>
    <w:rsid w:val="037D9397"/>
    <w:rsid w:val="03B259EB"/>
    <w:rsid w:val="03B745E0"/>
    <w:rsid w:val="0450F78B"/>
    <w:rsid w:val="047C9BC9"/>
    <w:rsid w:val="054FCE42"/>
    <w:rsid w:val="056ED572"/>
    <w:rsid w:val="05A55001"/>
    <w:rsid w:val="05B3BE76"/>
    <w:rsid w:val="05B65BEE"/>
    <w:rsid w:val="060D055E"/>
    <w:rsid w:val="064827C5"/>
    <w:rsid w:val="064C5456"/>
    <w:rsid w:val="06628B5F"/>
    <w:rsid w:val="0670F513"/>
    <w:rsid w:val="0678BA60"/>
    <w:rsid w:val="06FA1227"/>
    <w:rsid w:val="070C3FDA"/>
    <w:rsid w:val="070CE012"/>
    <w:rsid w:val="075632B9"/>
    <w:rsid w:val="075D56F9"/>
    <w:rsid w:val="075E4F25"/>
    <w:rsid w:val="07627051"/>
    <w:rsid w:val="07834B12"/>
    <w:rsid w:val="07C9A1AA"/>
    <w:rsid w:val="07D75469"/>
    <w:rsid w:val="07E15574"/>
    <w:rsid w:val="0800474B"/>
    <w:rsid w:val="081F2F16"/>
    <w:rsid w:val="082A100C"/>
    <w:rsid w:val="084AE9C9"/>
    <w:rsid w:val="089705E5"/>
    <w:rsid w:val="08C7ED8E"/>
    <w:rsid w:val="08F9E189"/>
    <w:rsid w:val="09038AB1"/>
    <w:rsid w:val="095702E8"/>
    <w:rsid w:val="097D77A1"/>
    <w:rsid w:val="09848B95"/>
    <w:rsid w:val="09A895D5"/>
    <w:rsid w:val="09C7B468"/>
    <w:rsid w:val="09E08A6A"/>
    <w:rsid w:val="09F1B650"/>
    <w:rsid w:val="0A3E6952"/>
    <w:rsid w:val="0A43E09C"/>
    <w:rsid w:val="0A61C9CF"/>
    <w:rsid w:val="0A660974"/>
    <w:rsid w:val="0A663DAF"/>
    <w:rsid w:val="0A9A1113"/>
    <w:rsid w:val="0B205BF6"/>
    <w:rsid w:val="0B4E8949"/>
    <w:rsid w:val="0B57EC87"/>
    <w:rsid w:val="0B89599F"/>
    <w:rsid w:val="0C16B742"/>
    <w:rsid w:val="0C414F3C"/>
    <w:rsid w:val="0C720C1F"/>
    <w:rsid w:val="0C958123"/>
    <w:rsid w:val="0C959D58"/>
    <w:rsid w:val="0C97C9F8"/>
    <w:rsid w:val="0CB7751D"/>
    <w:rsid w:val="0CDBA5F4"/>
    <w:rsid w:val="0D111C62"/>
    <w:rsid w:val="0D252A00"/>
    <w:rsid w:val="0D43241F"/>
    <w:rsid w:val="0D463A03"/>
    <w:rsid w:val="0D5A2D06"/>
    <w:rsid w:val="0DCB233D"/>
    <w:rsid w:val="0DE9DD60"/>
    <w:rsid w:val="0E023EA3"/>
    <w:rsid w:val="0E037F5E"/>
    <w:rsid w:val="0E44D530"/>
    <w:rsid w:val="0E57FCB8"/>
    <w:rsid w:val="0E5DD765"/>
    <w:rsid w:val="0E865C25"/>
    <w:rsid w:val="0E9B258B"/>
    <w:rsid w:val="0EB7C8D8"/>
    <w:rsid w:val="0EBAE2B7"/>
    <w:rsid w:val="0EEF3AE2"/>
    <w:rsid w:val="0FB34D0B"/>
    <w:rsid w:val="0FC1CBFD"/>
    <w:rsid w:val="1002FB2F"/>
    <w:rsid w:val="101A2EA8"/>
    <w:rsid w:val="10B44631"/>
    <w:rsid w:val="10E7DF89"/>
    <w:rsid w:val="10F6B06A"/>
    <w:rsid w:val="115A3CB2"/>
    <w:rsid w:val="116B3B1B"/>
    <w:rsid w:val="1175ABCF"/>
    <w:rsid w:val="11851199"/>
    <w:rsid w:val="11ABDB74"/>
    <w:rsid w:val="11FA4B6A"/>
    <w:rsid w:val="12349ADA"/>
    <w:rsid w:val="123DE82B"/>
    <w:rsid w:val="12ABD1CF"/>
    <w:rsid w:val="12BD5F00"/>
    <w:rsid w:val="12CE5DD8"/>
    <w:rsid w:val="12CEB615"/>
    <w:rsid w:val="13544F8E"/>
    <w:rsid w:val="137FBD8E"/>
    <w:rsid w:val="1383178D"/>
    <w:rsid w:val="13A4F22C"/>
    <w:rsid w:val="13C363CA"/>
    <w:rsid w:val="13D06B3B"/>
    <w:rsid w:val="14121159"/>
    <w:rsid w:val="1419CBB2"/>
    <w:rsid w:val="1487FC72"/>
    <w:rsid w:val="14CAAE51"/>
    <w:rsid w:val="14D060F3"/>
    <w:rsid w:val="14D08056"/>
    <w:rsid w:val="14F690FF"/>
    <w:rsid w:val="15638FD7"/>
    <w:rsid w:val="15717108"/>
    <w:rsid w:val="162902AA"/>
    <w:rsid w:val="162DADD5"/>
    <w:rsid w:val="16BAB84F"/>
    <w:rsid w:val="16CCAB4D"/>
    <w:rsid w:val="16D76A07"/>
    <w:rsid w:val="17002F21"/>
    <w:rsid w:val="17065961"/>
    <w:rsid w:val="17080BFD"/>
    <w:rsid w:val="176CB71C"/>
    <w:rsid w:val="17876E93"/>
    <w:rsid w:val="183235CF"/>
    <w:rsid w:val="1844820A"/>
    <w:rsid w:val="1878EBAB"/>
    <w:rsid w:val="18902F21"/>
    <w:rsid w:val="189B09DD"/>
    <w:rsid w:val="18A20642"/>
    <w:rsid w:val="18D1738A"/>
    <w:rsid w:val="19240BBC"/>
    <w:rsid w:val="196071D0"/>
    <w:rsid w:val="1972F154"/>
    <w:rsid w:val="1972F81F"/>
    <w:rsid w:val="197E202B"/>
    <w:rsid w:val="1986A0E8"/>
    <w:rsid w:val="19E3D6E7"/>
    <w:rsid w:val="19EBBA05"/>
    <w:rsid w:val="19EEAA59"/>
    <w:rsid w:val="19F43B24"/>
    <w:rsid w:val="1A03DFBE"/>
    <w:rsid w:val="1A0B4F30"/>
    <w:rsid w:val="1AA51E6C"/>
    <w:rsid w:val="1AAF1F51"/>
    <w:rsid w:val="1AAF6B29"/>
    <w:rsid w:val="1AD844C9"/>
    <w:rsid w:val="1B0E75DF"/>
    <w:rsid w:val="1B90A070"/>
    <w:rsid w:val="1BCBB11C"/>
    <w:rsid w:val="1BECB7F7"/>
    <w:rsid w:val="1BF6A3F1"/>
    <w:rsid w:val="1C0C9F44"/>
    <w:rsid w:val="1C352496"/>
    <w:rsid w:val="1C3D274C"/>
    <w:rsid w:val="1C62C4DB"/>
    <w:rsid w:val="1C873BB6"/>
    <w:rsid w:val="1C8EF8C5"/>
    <w:rsid w:val="1CAA4640"/>
    <w:rsid w:val="1D73E7A0"/>
    <w:rsid w:val="1D75A3C5"/>
    <w:rsid w:val="1D9AA96B"/>
    <w:rsid w:val="1DA86FA5"/>
    <w:rsid w:val="1DAB5AF5"/>
    <w:rsid w:val="1DEB3287"/>
    <w:rsid w:val="1DF77CDF"/>
    <w:rsid w:val="1DFC2F51"/>
    <w:rsid w:val="1E18A94A"/>
    <w:rsid w:val="1E1DB632"/>
    <w:rsid w:val="1E2BC870"/>
    <w:rsid w:val="1E4B0338"/>
    <w:rsid w:val="1E4D3148"/>
    <w:rsid w:val="1E5372A5"/>
    <w:rsid w:val="1EA09FE8"/>
    <w:rsid w:val="1EB125B3"/>
    <w:rsid w:val="1EC27035"/>
    <w:rsid w:val="1ED7D000"/>
    <w:rsid w:val="1EEE47B3"/>
    <w:rsid w:val="1EF6E8DA"/>
    <w:rsid w:val="1F117426"/>
    <w:rsid w:val="1F1B6D58"/>
    <w:rsid w:val="1F444006"/>
    <w:rsid w:val="1F4DB69E"/>
    <w:rsid w:val="1F68D0DC"/>
    <w:rsid w:val="1F832192"/>
    <w:rsid w:val="1FA7EA3D"/>
    <w:rsid w:val="1FBD9C13"/>
    <w:rsid w:val="1FCA0F67"/>
    <w:rsid w:val="2067BB1F"/>
    <w:rsid w:val="20B8AFD3"/>
    <w:rsid w:val="21105B06"/>
    <w:rsid w:val="2115F177"/>
    <w:rsid w:val="2183EE64"/>
    <w:rsid w:val="218988D9"/>
    <w:rsid w:val="218EB409"/>
    <w:rsid w:val="21FA10F7"/>
    <w:rsid w:val="22178E2B"/>
    <w:rsid w:val="221ADB51"/>
    <w:rsid w:val="22C46702"/>
    <w:rsid w:val="22C94B26"/>
    <w:rsid w:val="22E46AB3"/>
    <w:rsid w:val="22FCBDB8"/>
    <w:rsid w:val="230E944E"/>
    <w:rsid w:val="23302072"/>
    <w:rsid w:val="235BA451"/>
    <w:rsid w:val="236E3A17"/>
    <w:rsid w:val="23958EB8"/>
    <w:rsid w:val="23AF3487"/>
    <w:rsid w:val="23CAF537"/>
    <w:rsid w:val="23F81433"/>
    <w:rsid w:val="241BC2D1"/>
    <w:rsid w:val="242B20FE"/>
    <w:rsid w:val="248A6BCD"/>
    <w:rsid w:val="24B1999C"/>
    <w:rsid w:val="24B898C9"/>
    <w:rsid w:val="24CB5DE1"/>
    <w:rsid w:val="24D7ABEB"/>
    <w:rsid w:val="24DBF4D4"/>
    <w:rsid w:val="2532C6DC"/>
    <w:rsid w:val="253A443D"/>
    <w:rsid w:val="258BACB7"/>
    <w:rsid w:val="2597354D"/>
    <w:rsid w:val="25CEAC33"/>
    <w:rsid w:val="25F08846"/>
    <w:rsid w:val="25F99D3D"/>
    <w:rsid w:val="26597538"/>
    <w:rsid w:val="2688F25D"/>
    <w:rsid w:val="26E96276"/>
    <w:rsid w:val="26EFD08A"/>
    <w:rsid w:val="26F225E1"/>
    <w:rsid w:val="2764DBF8"/>
    <w:rsid w:val="27911BBC"/>
    <w:rsid w:val="27A61346"/>
    <w:rsid w:val="27B9A76D"/>
    <w:rsid w:val="2802FEA3"/>
    <w:rsid w:val="28347CBC"/>
    <w:rsid w:val="286D2E9B"/>
    <w:rsid w:val="288B4A0F"/>
    <w:rsid w:val="29164C99"/>
    <w:rsid w:val="292556B3"/>
    <w:rsid w:val="2941E3A7"/>
    <w:rsid w:val="29548FB3"/>
    <w:rsid w:val="29750BF9"/>
    <w:rsid w:val="29763262"/>
    <w:rsid w:val="298C70CA"/>
    <w:rsid w:val="29910D48"/>
    <w:rsid w:val="29B11818"/>
    <w:rsid w:val="29B1BB0B"/>
    <w:rsid w:val="29BF11EF"/>
    <w:rsid w:val="29C072B5"/>
    <w:rsid w:val="29C60F0E"/>
    <w:rsid w:val="29D7CCAA"/>
    <w:rsid w:val="2A14BF84"/>
    <w:rsid w:val="2A25C03F"/>
    <w:rsid w:val="2A3C7D44"/>
    <w:rsid w:val="2A9087A5"/>
    <w:rsid w:val="2AE5D612"/>
    <w:rsid w:val="2B2CE95B"/>
    <w:rsid w:val="2B4FDD19"/>
    <w:rsid w:val="2B51093F"/>
    <w:rsid w:val="2B5C4316"/>
    <w:rsid w:val="2BA6D597"/>
    <w:rsid w:val="2BB6A319"/>
    <w:rsid w:val="2BD149DD"/>
    <w:rsid w:val="2BD29000"/>
    <w:rsid w:val="2BF017E2"/>
    <w:rsid w:val="2C0000FE"/>
    <w:rsid w:val="2C269985"/>
    <w:rsid w:val="2C5CF775"/>
    <w:rsid w:val="2C95448A"/>
    <w:rsid w:val="2CF29C17"/>
    <w:rsid w:val="2CF2FBCA"/>
    <w:rsid w:val="2CFF3B5C"/>
    <w:rsid w:val="2D0B8661"/>
    <w:rsid w:val="2DA3AFBE"/>
    <w:rsid w:val="2DA4FB9C"/>
    <w:rsid w:val="2DC269E6"/>
    <w:rsid w:val="2DCBD560"/>
    <w:rsid w:val="2E1283D1"/>
    <w:rsid w:val="2E1AB833"/>
    <w:rsid w:val="2E3675E5"/>
    <w:rsid w:val="2E3FB0D2"/>
    <w:rsid w:val="2E44E955"/>
    <w:rsid w:val="2E88F30D"/>
    <w:rsid w:val="2E979497"/>
    <w:rsid w:val="2EB05FF8"/>
    <w:rsid w:val="2EBEC685"/>
    <w:rsid w:val="2EE508B2"/>
    <w:rsid w:val="2F2209F9"/>
    <w:rsid w:val="2F285CB1"/>
    <w:rsid w:val="2F3CDA58"/>
    <w:rsid w:val="2F4CC11A"/>
    <w:rsid w:val="2F5D30EB"/>
    <w:rsid w:val="2F769183"/>
    <w:rsid w:val="2F79BC3E"/>
    <w:rsid w:val="2F7FF4C5"/>
    <w:rsid w:val="2FDF8803"/>
    <w:rsid w:val="2FF3840C"/>
    <w:rsid w:val="3009B818"/>
    <w:rsid w:val="300F7498"/>
    <w:rsid w:val="302FD294"/>
    <w:rsid w:val="30780125"/>
    <w:rsid w:val="30AC6C4A"/>
    <w:rsid w:val="30E41EFA"/>
    <w:rsid w:val="31018214"/>
    <w:rsid w:val="311358E0"/>
    <w:rsid w:val="3152E90D"/>
    <w:rsid w:val="318EB4DF"/>
    <w:rsid w:val="31DB0C1B"/>
    <w:rsid w:val="31E833A0"/>
    <w:rsid w:val="31F676FC"/>
    <w:rsid w:val="3206A90C"/>
    <w:rsid w:val="3265035E"/>
    <w:rsid w:val="32B5E544"/>
    <w:rsid w:val="3301A2AD"/>
    <w:rsid w:val="33597BD7"/>
    <w:rsid w:val="33725F55"/>
    <w:rsid w:val="3395247A"/>
    <w:rsid w:val="33D0FE05"/>
    <w:rsid w:val="33F67545"/>
    <w:rsid w:val="34060020"/>
    <w:rsid w:val="34120ED6"/>
    <w:rsid w:val="341D707B"/>
    <w:rsid w:val="343208C0"/>
    <w:rsid w:val="3454CEC2"/>
    <w:rsid w:val="34587875"/>
    <w:rsid w:val="34A76715"/>
    <w:rsid w:val="34B22398"/>
    <w:rsid w:val="34C40317"/>
    <w:rsid w:val="34D5A3A9"/>
    <w:rsid w:val="34D74D65"/>
    <w:rsid w:val="34F54C38"/>
    <w:rsid w:val="34FE0541"/>
    <w:rsid w:val="351BBB6A"/>
    <w:rsid w:val="35647FBF"/>
    <w:rsid w:val="35A69A88"/>
    <w:rsid w:val="35A9BE07"/>
    <w:rsid w:val="35BA227D"/>
    <w:rsid w:val="35DBC49E"/>
    <w:rsid w:val="36805600"/>
    <w:rsid w:val="3684F086"/>
    <w:rsid w:val="369D94F7"/>
    <w:rsid w:val="36AA2051"/>
    <w:rsid w:val="36B78BCB"/>
    <w:rsid w:val="36C54671"/>
    <w:rsid w:val="36FC3F23"/>
    <w:rsid w:val="36FF77AE"/>
    <w:rsid w:val="3757D1A4"/>
    <w:rsid w:val="3767056A"/>
    <w:rsid w:val="37707C95"/>
    <w:rsid w:val="3774EC2A"/>
    <w:rsid w:val="3786FE5E"/>
    <w:rsid w:val="378B85DE"/>
    <w:rsid w:val="37E76AEC"/>
    <w:rsid w:val="37EC8E91"/>
    <w:rsid w:val="38131425"/>
    <w:rsid w:val="381F05A1"/>
    <w:rsid w:val="383BE1F0"/>
    <w:rsid w:val="386404FA"/>
    <w:rsid w:val="38F004E9"/>
    <w:rsid w:val="390E50BE"/>
    <w:rsid w:val="3910EDBD"/>
    <w:rsid w:val="392C223E"/>
    <w:rsid w:val="396DF1E2"/>
    <w:rsid w:val="398C2565"/>
    <w:rsid w:val="39A5EE12"/>
    <w:rsid w:val="39BBF95F"/>
    <w:rsid w:val="39C8BD5B"/>
    <w:rsid w:val="39CD3436"/>
    <w:rsid w:val="39CDE2F6"/>
    <w:rsid w:val="39DD9A18"/>
    <w:rsid w:val="39FFD55B"/>
    <w:rsid w:val="3A0D596F"/>
    <w:rsid w:val="3A28EF86"/>
    <w:rsid w:val="3A299C38"/>
    <w:rsid w:val="3A421EBB"/>
    <w:rsid w:val="3A68FF01"/>
    <w:rsid w:val="3A6C8FDA"/>
    <w:rsid w:val="3AF651AA"/>
    <w:rsid w:val="3B4605C9"/>
    <w:rsid w:val="3B8BDD43"/>
    <w:rsid w:val="3B90C700"/>
    <w:rsid w:val="3B990D90"/>
    <w:rsid w:val="3BB2B8D5"/>
    <w:rsid w:val="3BB61103"/>
    <w:rsid w:val="3BFFD72E"/>
    <w:rsid w:val="3C0FEEA8"/>
    <w:rsid w:val="3C130755"/>
    <w:rsid w:val="3C754433"/>
    <w:rsid w:val="3C990F7D"/>
    <w:rsid w:val="3C9B3A28"/>
    <w:rsid w:val="3CBD4B7E"/>
    <w:rsid w:val="3CC399E3"/>
    <w:rsid w:val="3CC3D4D8"/>
    <w:rsid w:val="3CCB05A3"/>
    <w:rsid w:val="3CE0B58E"/>
    <w:rsid w:val="3CFAFF4D"/>
    <w:rsid w:val="3D0969D4"/>
    <w:rsid w:val="3D09ADF9"/>
    <w:rsid w:val="3D0AEAF0"/>
    <w:rsid w:val="3D1DFDF2"/>
    <w:rsid w:val="3D3C50E4"/>
    <w:rsid w:val="3D4F3CEC"/>
    <w:rsid w:val="3D52DCD0"/>
    <w:rsid w:val="3D98402F"/>
    <w:rsid w:val="3E377D49"/>
    <w:rsid w:val="3E3EACB5"/>
    <w:rsid w:val="3E564608"/>
    <w:rsid w:val="3E7BE884"/>
    <w:rsid w:val="3E933091"/>
    <w:rsid w:val="3E94871D"/>
    <w:rsid w:val="3EA53A35"/>
    <w:rsid w:val="3EA9F151"/>
    <w:rsid w:val="3EC828E3"/>
    <w:rsid w:val="3F2667D4"/>
    <w:rsid w:val="3F30A6A5"/>
    <w:rsid w:val="3F3155E7"/>
    <w:rsid w:val="3F84A238"/>
    <w:rsid w:val="3F9EF2A7"/>
    <w:rsid w:val="3FC9525F"/>
    <w:rsid w:val="3FCDE636"/>
    <w:rsid w:val="4005749C"/>
    <w:rsid w:val="4008F7C1"/>
    <w:rsid w:val="4011F1FF"/>
    <w:rsid w:val="401A000C"/>
    <w:rsid w:val="4037FEDF"/>
    <w:rsid w:val="4046CE1F"/>
    <w:rsid w:val="404CF190"/>
    <w:rsid w:val="4066E4DB"/>
    <w:rsid w:val="4114B7E4"/>
    <w:rsid w:val="41207299"/>
    <w:rsid w:val="41371379"/>
    <w:rsid w:val="413EE523"/>
    <w:rsid w:val="41BEED3D"/>
    <w:rsid w:val="4237D629"/>
    <w:rsid w:val="42906B03"/>
    <w:rsid w:val="42A8F166"/>
    <w:rsid w:val="42F16CC7"/>
    <w:rsid w:val="42FCE15D"/>
    <w:rsid w:val="430AADED"/>
    <w:rsid w:val="431351C4"/>
    <w:rsid w:val="4326DCD9"/>
    <w:rsid w:val="4329D562"/>
    <w:rsid w:val="43319C07"/>
    <w:rsid w:val="4355AA95"/>
    <w:rsid w:val="437B3D64"/>
    <w:rsid w:val="43860C11"/>
    <w:rsid w:val="43C08ABD"/>
    <w:rsid w:val="43EFFF8F"/>
    <w:rsid w:val="4419874A"/>
    <w:rsid w:val="4456B295"/>
    <w:rsid w:val="4488E419"/>
    <w:rsid w:val="448DDA67"/>
    <w:rsid w:val="449179FB"/>
    <w:rsid w:val="44A4B108"/>
    <w:rsid w:val="44CCA928"/>
    <w:rsid w:val="44F46EB1"/>
    <w:rsid w:val="44F60687"/>
    <w:rsid w:val="454C403A"/>
    <w:rsid w:val="45DDA847"/>
    <w:rsid w:val="45E6B1B1"/>
    <w:rsid w:val="46309A46"/>
    <w:rsid w:val="463DBF55"/>
    <w:rsid w:val="46408169"/>
    <w:rsid w:val="4648308B"/>
    <w:rsid w:val="469723BD"/>
    <w:rsid w:val="46A9F59E"/>
    <w:rsid w:val="4713E0B7"/>
    <w:rsid w:val="4715F50C"/>
    <w:rsid w:val="474BDE7C"/>
    <w:rsid w:val="4763DC26"/>
    <w:rsid w:val="476BC9AC"/>
    <w:rsid w:val="47A86FE2"/>
    <w:rsid w:val="47C6EFD5"/>
    <w:rsid w:val="47C9F90F"/>
    <w:rsid w:val="47D34BC3"/>
    <w:rsid w:val="4837D128"/>
    <w:rsid w:val="484CC9C2"/>
    <w:rsid w:val="48969B81"/>
    <w:rsid w:val="493D6D60"/>
    <w:rsid w:val="4959B15B"/>
    <w:rsid w:val="4966A8F0"/>
    <w:rsid w:val="4977CAC1"/>
    <w:rsid w:val="499B6803"/>
    <w:rsid w:val="49B0C44A"/>
    <w:rsid w:val="49CC847C"/>
    <w:rsid w:val="49CFAA63"/>
    <w:rsid w:val="4A6BF275"/>
    <w:rsid w:val="4A972A1A"/>
    <w:rsid w:val="4A98AB18"/>
    <w:rsid w:val="4AB1FE71"/>
    <w:rsid w:val="4AC5F419"/>
    <w:rsid w:val="4ACAF259"/>
    <w:rsid w:val="4ACB2DCD"/>
    <w:rsid w:val="4B23E4CE"/>
    <w:rsid w:val="4B3D642E"/>
    <w:rsid w:val="4B427693"/>
    <w:rsid w:val="4BB283F7"/>
    <w:rsid w:val="4BD57AF7"/>
    <w:rsid w:val="4BE1C539"/>
    <w:rsid w:val="4C184D4B"/>
    <w:rsid w:val="4C5075A6"/>
    <w:rsid w:val="4C6E7479"/>
    <w:rsid w:val="4C8E317B"/>
    <w:rsid w:val="4CA1E38F"/>
    <w:rsid w:val="4CB200B2"/>
    <w:rsid w:val="4CDE46F4"/>
    <w:rsid w:val="4CE7DB10"/>
    <w:rsid w:val="4CED3642"/>
    <w:rsid w:val="4D132034"/>
    <w:rsid w:val="4D3A3142"/>
    <w:rsid w:val="4DC2BEA5"/>
    <w:rsid w:val="4DDB0B30"/>
    <w:rsid w:val="4E14DA4D"/>
    <w:rsid w:val="4E162E66"/>
    <w:rsid w:val="4E4F9DE5"/>
    <w:rsid w:val="4E7A1755"/>
    <w:rsid w:val="4E8B8FDF"/>
    <w:rsid w:val="4EDF625E"/>
    <w:rsid w:val="4EFE329F"/>
    <w:rsid w:val="4F150704"/>
    <w:rsid w:val="4F1612D3"/>
    <w:rsid w:val="4F16EBD6"/>
    <w:rsid w:val="4F558940"/>
    <w:rsid w:val="4F7632E1"/>
    <w:rsid w:val="4F8CECDE"/>
    <w:rsid w:val="4FB368AF"/>
    <w:rsid w:val="4FB93F03"/>
    <w:rsid w:val="4FD5EA74"/>
    <w:rsid w:val="4FEB6E46"/>
    <w:rsid w:val="4FFA4E81"/>
    <w:rsid w:val="500C2E00"/>
    <w:rsid w:val="503EB34A"/>
    <w:rsid w:val="50410CE3"/>
    <w:rsid w:val="50415EAD"/>
    <w:rsid w:val="5076E802"/>
    <w:rsid w:val="50831737"/>
    <w:rsid w:val="50ACB698"/>
    <w:rsid w:val="50DDD567"/>
    <w:rsid w:val="514EC905"/>
    <w:rsid w:val="518548C6"/>
    <w:rsid w:val="518F3D54"/>
    <w:rsid w:val="51ABCC4A"/>
    <w:rsid w:val="51B1271D"/>
    <w:rsid w:val="51DA83AB"/>
    <w:rsid w:val="51DD2F0E"/>
    <w:rsid w:val="51E10E57"/>
    <w:rsid w:val="521DE569"/>
    <w:rsid w:val="522D8933"/>
    <w:rsid w:val="52695565"/>
    <w:rsid w:val="5282BE02"/>
    <w:rsid w:val="52AF43BF"/>
    <w:rsid w:val="52DB8E69"/>
    <w:rsid w:val="52E4BAD3"/>
    <w:rsid w:val="531432B5"/>
    <w:rsid w:val="531F0471"/>
    <w:rsid w:val="5343C3BD"/>
    <w:rsid w:val="536C0C67"/>
    <w:rsid w:val="539F0EED"/>
    <w:rsid w:val="53C9F75F"/>
    <w:rsid w:val="53D6B91F"/>
    <w:rsid w:val="53D86D64"/>
    <w:rsid w:val="53DC6F32"/>
    <w:rsid w:val="53E87827"/>
    <w:rsid w:val="53F5718C"/>
    <w:rsid w:val="5429D0E3"/>
    <w:rsid w:val="546CD65F"/>
    <w:rsid w:val="54852123"/>
    <w:rsid w:val="548CA72A"/>
    <w:rsid w:val="54B2AAB0"/>
    <w:rsid w:val="54D411CD"/>
    <w:rsid w:val="54FE6819"/>
    <w:rsid w:val="55113192"/>
    <w:rsid w:val="5519C282"/>
    <w:rsid w:val="552D7A72"/>
    <w:rsid w:val="55770F8C"/>
    <w:rsid w:val="55E74C5F"/>
    <w:rsid w:val="55E94E0C"/>
    <w:rsid w:val="564E5A4B"/>
    <w:rsid w:val="56959870"/>
    <w:rsid w:val="56997B39"/>
    <w:rsid w:val="56A71767"/>
    <w:rsid w:val="56A78F4E"/>
    <w:rsid w:val="56B0A031"/>
    <w:rsid w:val="57051891"/>
    <w:rsid w:val="5745EDBF"/>
    <w:rsid w:val="57474B07"/>
    <w:rsid w:val="5749BA83"/>
    <w:rsid w:val="57831CC0"/>
    <w:rsid w:val="57A28B96"/>
    <w:rsid w:val="57AAEB45"/>
    <w:rsid w:val="57D1097E"/>
    <w:rsid w:val="57FC133B"/>
    <w:rsid w:val="58239799"/>
    <w:rsid w:val="583B35BB"/>
    <w:rsid w:val="5849A1BA"/>
    <w:rsid w:val="589710E2"/>
    <w:rsid w:val="589DBF23"/>
    <w:rsid w:val="58F5F7D7"/>
    <w:rsid w:val="58FFDEAB"/>
    <w:rsid w:val="59601AE5"/>
    <w:rsid w:val="59605F91"/>
    <w:rsid w:val="5969FB45"/>
    <w:rsid w:val="5981B1E2"/>
    <w:rsid w:val="59898557"/>
    <w:rsid w:val="599EF45F"/>
    <w:rsid w:val="59A78D7B"/>
    <w:rsid w:val="59B03E9A"/>
    <w:rsid w:val="59B3C3FA"/>
    <w:rsid w:val="59D1BAD3"/>
    <w:rsid w:val="59EACB57"/>
    <w:rsid w:val="59ED3772"/>
    <w:rsid w:val="5A0504BE"/>
    <w:rsid w:val="5A19AABE"/>
    <w:rsid w:val="5A38F302"/>
    <w:rsid w:val="5A400599"/>
    <w:rsid w:val="5A906747"/>
    <w:rsid w:val="5AA88FCF"/>
    <w:rsid w:val="5AB4FD23"/>
    <w:rsid w:val="5ABDAFA6"/>
    <w:rsid w:val="5AC2DB89"/>
    <w:rsid w:val="5B080E7F"/>
    <w:rsid w:val="5B208AA1"/>
    <w:rsid w:val="5B399196"/>
    <w:rsid w:val="5B79EAE8"/>
    <w:rsid w:val="5B7B0071"/>
    <w:rsid w:val="5BBAE4AB"/>
    <w:rsid w:val="5BCFDAD6"/>
    <w:rsid w:val="5C87EBC1"/>
    <w:rsid w:val="5CBF19BD"/>
    <w:rsid w:val="5CF41AAF"/>
    <w:rsid w:val="5CFBD225"/>
    <w:rsid w:val="5D1536D2"/>
    <w:rsid w:val="5D36AB80"/>
    <w:rsid w:val="5D469CE4"/>
    <w:rsid w:val="5D579E87"/>
    <w:rsid w:val="5D82E334"/>
    <w:rsid w:val="5DB482C7"/>
    <w:rsid w:val="5DB84DA5"/>
    <w:rsid w:val="5DF526EA"/>
    <w:rsid w:val="5DFD8AC8"/>
    <w:rsid w:val="5E0F06B9"/>
    <w:rsid w:val="5E1E428F"/>
    <w:rsid w:val="5E2D8B0B"/>
    <w:rsid w:val="5E7F872B"/>
    <w:rsid w:val="5EAFEF41"/>
    <w:rsid w:val="5EF2FB0F"/>
    <w:rsid w:val="5F045587"/>
    <w:rsid w:val="5F421484"/>
    <w:rsid w:val="5F50AA95"/>
    <w:rsid w:val="5F6BAD0A"/>
    <w:rsid w:val="5FBCC196"/>
    <w:rsid w:val="5FBD2647"/>
    <w:rsid w:val="602FAC92"/>
    <w:rsid w:val="6041D57F"/>
    <w:rsid w:val="6049B079"/>
    <w:rsid w:val="60602B2F"/>
    <w:rsid w:val="606A6B6D"/>
    <w:rsid w:val="60A9F6EC"/>
    <w:rsid w:val="60C05FFA"/>
    <w:rsid w:val="611ECA74"/>
    <w:rsid w:val="61272600"/>
    <w:rsid w:val="6128CFBC"/>
    <w:rsid w:val="612ED6DD"/>
    <w:rsid w:val="6189D608"/>
    <w:rsid w:val="6197E632"/>
    <w:rsid w:val="62351800"/>
    <w:rsid w:val="62C960F7"/>
    <w:rsid w:val="62EF3FBF"/>
    <w:rsid w:val="62EF9DE4"/>
    <w:rsid w:val="62FF748B"/>
    <w:rsid w:val="631B492F"/>
    <w:rsid w:val="633DB9DF"/>
    <w:rsid w:val="63478B37"/>
    <w:rsid w:val="63502929"/>
    <w:rsid w:val="63769597"/>
    <w:rsid w:val="637F1DA6"/>
    <w:rsid w:val="6394D88A"/>
    <w:rsid w:val="63E3D67F"/>
    <w:rsid w:val="6419074C"/>
    <w:rsid w:val="644CC4F5"/>
    <w:rsid w:val="645882F8"/>
    <w:rsid w:val="6459E672"/>
    <w:rsid w:val="64A718C6"/>
    <w:rsid w:val="64AE448A"/>
    <w:rsid w:val="64BC0178"/>
    <w:rsid w:val="64BDCA92"/>
    <w:rsid w:val="64F7C299"/>
    <w:rsid w:val="652478C6"/>
    <w:rsid w:val="652FDC61"/>
    <w:rsid w:val="65482DAD"/>
    <w:rsid w:val="65A17656"/>
    <w:rsid w:val="65A9037C"/>
    <w:rsid w:val="65DAEE8E"/>
    <w:rsid w:val="65EB8CCC"/>
    <w:rsid w:val="661131E7"/>
    <w:rsid w:val="661A3FB2"/>
    <w:rsid w:val="662AF967"/>
    <w:rsid w:val="663E5F22"/>
    <w:rsid w:val="664E698A"/>
    <w:rsid w:val="664FD53F"/>
    <w:rsid w:val="6651245B"/>
    <w:rsid w:val="66C3E666"/>
    <w:rsid w:val="66CFF7DB"/>
    <w:rsid w:val="66DB7E50"/>
    <w:rsid w:val="6702B36C"/>
    <w:rsid w:val="672639A5"/>
    <w:rsid w:val="672E3B36"/>
    <w:rsid w:val="6744D3DD"/>
    <w:rsid w:val="6756186A"/>
    <w:rsid w:val="675ED792"/>
    <w:rsid w:val="67638709"/>
    <w:rsid w:val="677CA354"/>
    <w:rsid w:val="67A5497A"/>
    <w:rsid w:val="67EA32CB"/>
    <w:rsid w:val="6809761F"/>
    <w:rsid w:val="6842D5A8"/>
    <w:rsid w:val="686ABE50"/>
    <w:rsid w:val="68C53134"/>
    <w:rsid w:val="68EC7E19"/>
    <w:rsid w:val="690C9147"/>
    <w:rsid w:val="6914A9E2"/>
    <w:rsid w:val="692AD0BE"/>
    <w:rsid w:val="6932212E"/>
    <w:rsid w:val="693237E5"/>
    <w:rsid w:val="6945C6CF"/>
    <w:rsid w:val="6951E074"/>
    <w:rsid w:val="69B3514D"/>
    <w:rsid w:val="69C798DF"/>
    <w:rsid w:val="69F2221A"/>
    <w:rsid w:val="6A021D55"/>
    <w:rsid w:val="6A17DD95"/>
    <w:rsid w:val="6A1F0C08"/>
    <w:rsid w:val="6A23881B"/>
    <w:rsid w:val="6A2C295F"/>
    <w:rsid w:val="6A3105E2"/>
    <w:rsid w:val="6A32D8F1"/>
    <w:rsid w:val="6A3A542E"/>
    <w:rsid w:val="6A48F56A"/>
    <w:rsid w:val="6A9B9FD1"/>
    <w:rsid w:val="6AD37365"/>
    <w:rsid w:val="6AD66FF7"/>
    <w:rsid w:val="6AEDB0D5"/>
    <w:rsid w:val="6AFC84C9"/>
    <w:rsid w:val="6B10311B"/>
    <w:rsid w:val="6B1833D1"/>
    <w:rsid w:val="6BB06B92"/>
    <w:rsid w:val="6BB13F4E"/>
    <w:rsid w:val="6BD6248F"/>
    <w:rsid w:val="6BEA112E"/>
    <w:rsid w:val="6BFD0BDF"/>
    <w:rsid w:val="6C01AC59"/>
    <w:rsid w:val="6C374E03"/>
    <w:rsid w:val="6C638EFA"/>
    <w:rsid w:val="6C69D8A7"/>
    <w:rsid w:val="6CB40432"/>
    <w:rsid w:val="6CB5028F"/>
    <w:rsid w:val="6D168A2D"/>
    <w:rsid w:val="6D474C43"/>
    <w:rsid w:val="6D6B5118"/>
    <w:rsid w:val="6D9A9999"/>
    <w:rsid w:val="6D9E91B4"/>
    <w:rsid w:val="6DB88E85"/>
    <w:rsid w:val="6DDDAF92"/>
    <w:rsid w:val="6E0385CA"/>
    <w:rsid w:val="6E0AC7A4"/>
    <w:rsid w:val="6E149208"/>
    <w:rsid w:val="6E497107"/>
    <w:rsid w:val="6E9E458D"/>
    <w:rsid w:val="6EABDEE8"/>
    <w:rsid w:val="6EB42E04"/>
    <w:rsid w:val="6ED39E2D"/>
    <w:rsid w:val="6ED8C3B8"/>
    <w:rsid w:val="6F0B097C"/>
    <w:rsid w:val="6F23E5FC"/>
    <w:rsid w:val="6F394D1B"/>
    <w:rsid w:val="6FAE57E8"/>
    <w:rsid w:val="6FBDC045"/>
    <w:rsid w:val="6FC7CC18"/>
    <w:rsid w:val="6FE3A23E"/>
    <w:rsid w:val="7089D2ED"/>
    <w:rsid w:val="708AFFBB"/>
    <w:rsid w:val="709C95E4"/>
    <w:rsid w:val="70ED198E"/>
    <w:rsid w:val="71247569"/>
    <w:rsid w:val="7147A3F9"/>
    <w:rsid w:val="71596325"/>
    <w:rsid w:val="71616934"/>
    <w:rsid w:val="7173EC21"/>
    <w:rsid w:val="71A5FA87"/>
    <w:rsid w:val="71DE765F"/>
    <w:rsid w:val="722128AD"/>
    <w:rsid w:val="7229A596"/>
    <w:rsid w:val="723F9992"/>
    <w:rsid w:val="7267B483"/>
    <w:rsid w:val="7283FEF4"/>
    <w:rsid w:val="7294E829"/>
    <w:rsid w:val="72A06C3A"/>
    <w:rsid w:val="72AB3F93"/>
    <w:rsid w:val="72D506FF"/>
    <w:rsid w:val="72DFB5F3"/>
    <w:rsid w:val="731B4300"/>
    <w:rsid w:val="7339E293"/>
    <w:rsid w:val="733BAB7A"/>
    <w:rsid w:val="738BF253"/>
    <w:rsid w:val="738EABFC"/>
    <w:rsid w:val="739DCB51"/>
    <w:rsid w:val="73D7FBFB"/>
    <w:rsid w:val="73D83FC0"/>
    <w:rsid w:val="74295F29"/>
    <w:rsid w:val="746EA6C2"/>
    <w:rsid w:val="74754707"/>
    <w:rsid w:val="74768524"/>
    <w:rsid w:val="74CD3793"/>
    <w:rsid w:val="74F9C65B"/>
    <w:rsid w:val="75479C9B"/>
    <w:rsid w:val="7558A1B3"/>
    <w:rsid w:val="757EEA74"/>
    <w:rsid w:val="7590BC2A"/>
    <w:rsid w:val="75A1F8F8"/>
    <w:rsid w:val="75A45CDF"/>
    <w:rsid w:val="75B5560B"/>
    <w:rsid w:val="75E58E6C"/>
    <w:rsid w:val="75F400E6"/>
    <w:rsid w:val="7621E226"/>
    <w:rsid w:val="764227F0"/>
    <w:rsid w:val="7683376E"/>
    <w:rsid w:val="76BF29B4"/>
    <w:rsid w:val="76FCD85B"/>
    <w:rsid w:val="770E2BEB"/>
    <w:rsid w:val="77177670"/>
    <w:rsid w:val="773030DC"/>
    <w:rsid w:val="77BB9991"/>
    <w:rsid w:val="78310A96"/>
    <w:rsid w:val="78666336"/>
    <w:rsid w:val="78B187D7"/>
    <w:rsid w:val="78BFB1F1"/>
    <w:rsid w:val="78D126A7"/>
    <w:rsid w:val="7903FED7"/>
    <w:rsid w:val="79264FDB"/>
    <w:rsid w:val="7979E4D0"/>
    <w:rsid w:val="799242AD"/>
    <w:rsid w:val="7995C6FF"/>
    <w:rsid w:val="79ADCD82"/>
    <w:rsid w:val="79CB32FD"/>
    <w:rsid w:val="79D12ACE"/>
    <w:rsid w:val="79F9034B"/>
    <w:rsid w:val="7A4577B4"/>
    <w:rsid w:val="7A4F1732"/>
    <w:rsid w:val="7A5E53E6"/>
    <w:rsid w:val="7A60840F"/>
    <w:rsid w:val="7A7BFFC2"/>
    <w:rsid w:val="7A8163B2"/>
    <w:rsid w:val="7A8B018C"/>
    <w:rsid w:val="7AB6BBC9"/>
    <w:rsid w:val="7B08E1F7"/>
    <w:rsid w:val="7B4319EB"/>
    <w:rsid w:val="7B61FB7B"/>
    <w:rsid w:val="7BB75F7F"/>
    <w:rsid w:val="7BE2E610"/>
    <w:rsid w:val="7C17D023"/>
    <w:rsid w:val="7C8FD869"/>
    <w:rsid w:val="7C92D50B"/>
    <w:rsid w:val="7C93614A"/>
    <w:rsid w:val="7CA8DB15"/>
    <w:rsid w:val="7CE32631"/>
    <w:rsid w:val="7D25C018"/>
    <w:rsid w:val="7D39E12D"/>
    <w:rsid w:val="7D440245"/>
    <w:rsid w:val="7D589ED2"/>
    <w:rsid w:val="7D8DB9FC"/>
    <w:rsid w:val="7DB3A084"/>
    <w:rsid w:val="7DE20930"/>
    <w:rsid w:val="7E62B350"/>
    <w:rsid w:val="7E8D6EDC"/>
    <w:rsid w:val="7EE8AFEB"/>
    <w:rsid w:val="7EEDB148"/>
    <w:rsid w:val="7EEF0041"/>
    <w:rsid w:val="7EF812FB"/>
    <w:rsid w:val="7EF85E97"/>
    <w:rsid w:val="7F628C8D"/>
    <w:rsid w:val="7FA1BFFA"/>
    <w:rsid w:val="7FC170E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6BFA8E"/>
  <w15:chartTrackingRefBased/>
  <w15:docId w15:val="{D767AAF6-21D1-4D43-B765-17C72EF99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48F1"/>
    <w:pPr>
      <w:spacing w:before="100" w:beforeAutospacing="1" w:after="100" w:afterAutospacing="1" w:line="240" w:lineRule="auto"/>
      <w:jc w:val="both"/>
    </w:pPr>
    <w:rPr>
      <w:rFonts w:ascii="Times New Roman" w:eastAsia="Times New Roman" w:hAnsi="Times New Roman" w:cs="Times New Roman"/>
      <w:sz w:val="24"/>
      <w:szCs w:val="24"/>
      <w:lang w:val="en-GB" w:eastAsia="en-GB"/>
    </w:rPr>
  </w:style>
  <w:style w:type="paragraph" w:styleId="Heading1">
    <w:name w:val="heading 1"/>
    <w:basedOn w:val="Normal"/>
    <w:next w:val="Normal"/>
    <w:link w:val="Heading1Char"/>
    <w:qFormat/>
    <w:rsid w:val="004548F1"/>
    <w:pPr>
      <w:keepNext/>
      <w:spacing w:before="240" w:beforeAutospacing="0" w:after="240" w:afterAutospacing="0"/>
      <w:outlineLvl w:val="0"/>
    </w:pPr>
    <w:rPr>
      <w:b/>
      <w:smallCaps/>
      <w:sz w:val="28"/>
      <w:szCs w:val="28"/>
    </w:rPr>
  </w:style>
  <w:style w:type="paragraph" w:styleId="Heading2">
    <w:name w:val="heading 2"/>
    <w:basedOn w:val="Normal"/>
    <w:next w:val="Normal"/>
    <w:link w:val="Heading2Char"/>
    <w:uiPriority w:val="9"/>
    <w:qFormat/>
    <w:rsid w:val="004548F1"/>
    <w:pPr>
      <w:keepNext/>
      <w:spacing w:before="360" w:beforeAutospacing="0"/>
      <w:outlineLvl w:val="1"/>
    </w:pPr>
    <w:rPr>
      <w:b/>
      <w:u w:val="single"/>
    </w:rPr>
  </w:style>
  <w:style w:type="paragraph" w:styleId="Heading3">
    <w:name w:val="heading 3"/>
    <w:basedOn w:val="Normal"/>
    <w:next w:val="Normal"/>
    <w:link w:val="Heading3Char"/>
    <w:autoRedefine/>
    <w:qFormat/>
    <w:rsid w:val="00A50CCD"/>
    <w:pPr>
      <w:keepNext/>
      <w:outlineLvl w:val="2"/>
    </w:pPr>
    <w:rPr>
      <w:rFonts w:ascii="Times New Roman Bold" w:hAnsi="Times New Roman Bold"/>
      <w:b/>
    </w:rPr>
  </w:style>
  <w:style w:type="paragraph" w:styleId="Heading4">
    <w:name w:val="heading 4"/>
    <w:basedOn w:val="Normal"/>
    <w:next w:val="Normal"/>
    <w:link w:val="Heading4Char"/>
    <w:uiPriority w:val="9"/>
    <w:semiHidden/>
    <w:unhideWhenUsed/>
    <w:qFormat/>
    <w:rsid w:val="000A0606"/>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548F1"/>
    <w:rPr>
      <w:rFonts w:ascii="Times New Roman" w:eastAsia="Times New Roman" w:hAnsi="Times New Roman" w:cs="Times New Roman"/>
      <w:b/>
      <w:smallCaps/>
      <w:sz w:val="28"/>
      <w:szCs w:val="28"/>
      <w:lang w:val="en-GB" w:eastAsia="en-GB"/>
    </w:rPr>
  </w:style>
  <w:style w:type="character" w:customStyle="1" w:styleId="Heading2Char">
    <w:name w:val="Heading 2 Char"/>
    <w:basedOn w:val="DefaultParagraphFont"/>
    <w:link w:val="Heading2"/>
    <w:uiPriority w:val="9"/>
    <w:rsid w:val="004548F1"/>
    <w:rPr>
      <w:rFonts w:ascii="Times New Roman" w:eastAsia="Times New Roman" w:hAnsi="Times New Roman" w:cs="Times New Roman"/>
      <w:b/>
      <w:sz w:val="24"/>
      <w:szCs w:val="24"/>
      <w:u w:val="single"/>
      <w:lang w:val="en-GB" w:eastAsia="en-GB"/>
    </w:rPr>
  </w:style>
  <w:style w:type="character" w:customStyle="1" w:styleId="Heading3Char">
    <w:name w:val="Heading 3 Char"/>
    <w:basedOn w:val="DefaultParagraphFont"/>
    <w:link w:val="Heading3"/>
    <w:rsid w:val="00A50CCD"/>
    <w:rPr>
      <w:rFonts w:ascii="Times New Roman Bold" w:eastAsia="Times New Roman" w:hAnsi="Times New Roman Bold" w:cs="Times New Roman"/>
      <w:b/>
      <w:sz w:val="24"/>
      <w:szCs w:val="24"/>
      <w:lang w:val="en-GB" w:eastAsia="en-GB"/>
    </w:rPr>
  </w:style>
  <w:style w:type="character" w:styleId="Hyperlink">
    <w:name w:val="Hyperlink"/>
    <w:uiPriority w:val="99"/>
    <w:rsid w:val="004548F1"/>
    <w:rPr>
      <w:color w:val="0000FF"/>
      <w:u w:val="single"/>
    </w:rPr>
  </w:style>
  <w:style w:type="paragraph" w:styleId="ListParagraph">
    <w:name w:val="List Paragraph"/>
    <w:basedOn w:val="Normal"/>
    <w:uiPriority w:val="34"/>
    <w:qFormat/>
    <w:rsid w:val="004548F1"/>
    <w:pPr>
      <w:ind w:left="708"/>
    </w:pPr>
  </w:style>
  <w:style w:type="table" w:styleId="TableGrid">
    <w:name w:val="Table Grid"/>
    <w:basedOn w:val="TableNormal"/>
    <w:uiPriority w:val="39"/>
    <w:rsid w:val="007F28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unhideWhenUsed/>
    <w:qFormat/>
    <w:rsid w:val="007F285C"/>
    <w:rPr>
      <w:sz w:val="16"/>
      <w:szCs w:val="16"/>
    </w:rPr>
  </w:style>
  <w:style w:type="paragraph" w:styleId="CommentText">
    <w:name w:val="annotation text"/>
    <w:basedOn w:val="Normal"/>
    <w:link w:val="CommentTextChar"/>
    <w:uiPriority w:val="99"/>
    <w:unhideWhenUsed/>
    <w:rsid w:val="007F285C"/>
    <w:pPr>
      <w:spacing w:before="0" w:beforeAutospacing="0" w:after="160" w:afterAutospacing="0"/>
      <w:jc w:val="left"/>
    </w:pPr>
    <w:rPr>
      <w:rFonts w:asciiTheme="minorHAnsi" w:eastAsiaTheme="minorHAnsi" w:hAnsiTheme="minorHAnsi" w:cstheme="minorBidi"/>
      <w:sz w:val="20"/>
      <w:szCs w:val="20"/>
      <w:lang w:val="en-US" w:eastAsia="en-US"/>
    </w:rPr>
  </w:style>
  <w:style w:type="character" w:customStyle="1" w:styleId="CommentTextChar">
    <w:name w:val="Comment Text Char"/>
    <w:basedOn w:val="DefaultParagraphFont"/>
    <w:link w:val="CommentText"/>
    <w:uiPriority w:val="99"/>
    <w:rsid w:val="007F285C"/>
    <w:rPr>
      <w:sz w:val="20"/>
      <w:szCs w:val="20"/>
    </w:rPr>
  </w:style>
  <w:style w:type="character" w:styleId="UnresolvedMention">
    <w:name w:val="Unresolved Mention"/>
    <w:basedOn w:val="DefaultParagraphFont"/>
    <w:uiPriority w:val="99"/>
    <w:unhideWhenUsed/>
    <w:rsid w:val="005774EF"/>
    <w:rPr>
      <w:color w:val="605E5C"/>
      <w:shd w:val="clear" w:color="auto" w:fill="E1DFDD"/>
    </w:rPr>
  </w:style>
  <w:style w:type="paragraph" w:styleId="FootnoteText">
    <w:name w:val="footnote text"/>
    <w:aliases w:val="Schriftart: 9 pt,Schriftart: 10 pt,Schriftart: 8 pt,WB-Fußnotentext,fn,Footnotes,Footnote ak,Footnote Text Char1 Char,Footnote Text Char Char Char,Footnote Text Char1 Char Char Char,Footnote Text Char Char Char Char Char,C,f t"/>
    <w:basedOn w:val="Normal"/>
    <w:link w:val="FootnoteTextChar"/>
    <w:uiPriority w:val="99"/>
    <w:qFormat/>
    <w:rsid w:val="000A0606"/>
    <w:pPr>
      <w:ind w:left="357" w:hanging="357"/>
    </w:pPr>
    <w:rPr>
      <w:sz w:val="20"/>
    </w:rPr>
  </w:style>
  <w:style w:type="character" w:customStyle="1" w:styleId="FootnoteTextChar">
    <w:name w:val="Footnote Text Char"/>
    <w:aliases w:val="Schriftart: 9 pt Char,Schriftart: 10 pt Char,Schriftart: 8 pt Char,WB-Fußnotentext Char,fn Char,Footnotes Char,Footnote ak Char,Footnote Text Char1 Char Char,Footnote Text Char Char Char Char,Footnote Text Char1 Char Char Char Char"/>
    <w:basedOn w:val="DefaultParagraphFont"/>
    <w:link w:val="FootnoteText"/>
    <w:uiPriority w:val="99"/>
    <w:qFormat/>
    <w:rsid w:val="000A0606"/>
    <w:rPr>
      <w:rFonts w:ascii="Times New Roman" w:eastAsia="Times New Roman" w:hAnsi="Times New Roman" w:cs="Times New Roman"/>
      <w:sz w:val="20"/>
      <w:szCs w:val="24"/>
      <w:lang w:val="en-GB" w:eastAsia="en-GB"/>
    </w:rPr>
  </w:style>
  <w:style w:type="character" w:styleId="FootnoteReference">
    <w:name w:val="footnote reference"/>
    <w:aliases w:val="Footnote symbol,Footnote,Voetnootverwijzing,Footnote number,fr,o,Footnotemark,FR,Footnotemark1,Footnotemark2,FR1,Footnotemark3,FR2,Footnotemark4,FR3,Footnotemark5,FR4,Footnotemark6,Footnotemark7,Footnotemark8,FR5,F,SUPE"/>
    <w:link w:val="CharCharChar"/>
    <w:uiPriority w:val="99"/>
    <w:qFormat/>
    <w:rsid w:val="000A0606"/>
    <w:rPr>
      <w:vertAlign w:val="superscript"/>
    </w:rPr>
  </w:style>
  <w:style w:type="paragraph" w:customStyle="1" w:styleId="CharCharChar">
    <w:name w:val="Char Char Char"/>
    <w:basedOn w:val="Normal"/>
    <w:link w:val="FootnoteReference"/>
    <w:uiPriority w:val="99"/>
    <w:rsid w:val="000A0606"/>
    <w:pPr>
      <w:spacing w:before="0" w:beforeAutospacing="0" w:after="160" w:afterAutospacing="0" w:line="240" w:lineRule="exact"/>
      <w:jc w:val="left"/>
    </w:pPr>
    <w:rPr>
      <w:rFonts w:asciiTheme="minorHAnsi" w:eastAsiaTheme="minorHAnsi" w:hAnsiTheme="minorHAnsi" w:cstheme="minorBidi"/>
      <w:sz w:val="22"/>
      <w:szCs w:val="22"/>
      <w:vertAlign w:val="superscript"/>
      <w:lang w:val="en-US" w:eastAsia="en-US"/>
    </w:rPr>
  </w:style>
  <w:style w:type="character" w:customStyle="1" w:styleId="Heading4Char">
    <w:name w:val="Heading 4 Char"/>
    <w:basedOn w:val="DefaultParagraphFont"/>
    <w:link w:val="Heading4"/>
    <w:uiPriority w:val="9"/>
    <w:semiHidden/>
    <w:rsid w:val="000A0606"/>
    <w:rPr>
      <w:rFonts w:asciiTheme="majorHAnsi" w:eastAsiaTheme="majorEastAsia" w:hAnsiTheme="majorHAnsi" w:cstheme="majorBidi"/>
      <w:i/>
      <w:iCs/>
      <w:color w:val="2E74B5" w:themeColor="accent1" w:themeShade="BF"/>
      <w:sz w:val="24"/>
      <w:szCs w:val="24"/>
      <w:lang w:val="en-GB" w:eastAsia="en-GB"/>
    </w:rPr>
  </w:style>
  <w:style w:type="paragraph" w:styleId="CommentSubject">
    <w:name w:val="annotation subject"/>
    <w:basedOn w:val="CommentText"/>
    <w:next w:val="CommentText"/>
    <w:link w:val="CommentSubjectChar"/>
    <w:uiPriority w:val="99"/>
    <w:semiHidden/>
    <w:unhideWhenUsed/>
    <w:rsid w:val="00771734"/>
    <w:pPr>
      <w:spacing w:before="100" w:beforeAutospacing="1" w:after="100" w:afterAutospacing="1"/>
      <w:jc w:val="both"/>
    </w:pPr>
    <w:rPr>
      <w:rFonts w:ascii="Times New Roman" w:eastAsia="Times New Roman" w:hAnsi="Times New Roman" w:cs="Times New Roman"/>
      <w:b/>
      <w:bCs/>
      <w:lang w:val="en-GB" w:eastAsia="en-GB"/>
    </w:rPr>
  </w:style>
  <w:style w:type="character" w:customStyle="1" w:styleId="CommentSubjectChar">
    <w:name w:val="Comment Subject Char"/>
    <w:basedOn w:val="CommentTextChar"/>
    <w:link w:val="CommentSubject"/>
    <w:uiPriority w:val="99"/>
    <w:semiHidden/>
    <w:rsid w:val="00771734"/>
    <w:rPr>
      <w:rFonts w:ascii="Times New Roman" w:eastAsia="Times New Roman" w:hAnsi="Times New Roman" w:cs="Times New Roman"/>
      <w:b/>
      <w:bCs/>
      <w:sz w:val="20"/>
      <w:szCs w:val="20"/>
      <w:lang w:val="en-GB" w:eastAsia="en-GB"/>
    </w:rPr>
  </w:style>
  <w:style w:type="paragraph" w:styleId="ListBullet5">
    <w:name w:val="List Bullet 5"/>
    <w:basedOn w:val="Normal"/>
    <w:autoRedefine/>
    <w:rsid w:val="00A50CCD"/>
    <w:pPr>
      <w:numPr>
        <w:numId w:val="1"/>
      </w:numPr>
    </w:pPr>
  </w:style>
  <w:style w:type="paragraph" w:customStyle="1" w:styleId="Text2">
    <w:name w:val="Text 2"/>
    <w:basedOn w:val="Normal"/>
    <w:link w:val="Text2Char1"/>
    <w:qFormat/>
    <w:rsid w:val="00A50CCD"/>
    <w:pPr>
      <w:tabs>
        <w:tab w:val="left" w:pos="2160"/>
      </w:tabs>
      <w:ind w:left="1077"/>
    </w:pPr>
  </w:style>
  <w:style w:type="character" w:customStyle="1" w:styleId="Text2Char1">
    <w:name w:val="Text 2 Char1"/>
    <w:link w:val="Text2"/>
    <w:rsid w:val="00A50CCD"/>
    <w:rPr>
      <w:rFonts w:ascii="Times New Roman" w:eastAsia="Times New Roman" w:hAnsi="Times New Roman" w:cs="Times New Roman"/>
      <w:sz w:val="24"/>
      <w:szCs w:val="24"/>
      <w:lang w:val="en-GB" w:eastAsia="en-GB"/>
    </w:rPr>
  </w:style>
  <w:style w:type="table" w:styleId="LightList-Accent1">
    <w:name w:val="Light List Accent 1"/>
    <w:basedOn w:val="TableNormal"/>
    <w:uiPriority w:val="61"/>
    <w:rsid w:val="00A50CCD"/>
    <w:pPr>
      <w:spacing w:after="0" w:line="240" w:lineRule="auto"/>
    </w:pPr>
    <w:rPr>
      <w:rFonts w:ascii="Times New Roman" w:eastAsia="Times New Roman" w:hAnsi="Times New Roman" w:cs="Times New Roman"/>
      <w:sz w:val="20"/>
      <w:szCs w:val="20"/>
      <w:lang w:val="en-GB" w:eastAsia="en-GB"/>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paragraph" w:customStyle="1" w:styleId="Text1">
    <w:name w:val="Text 1"/>
    <w:basedOn w:val="Normal"/>
    <w:link w:val="Text1Char"/>
    <w:qFormat/>
    <w:rsid w:val="00A50CCD"/>
    <w:rPr>
      <w:b/>
    </w:rPr>
  </w:style>
  <w:style w:type="character" w:customStyle="1" w:styleId="Text1Char">
    <w:name w:val="Text 1 Char"/>
    <w:link w:val="Text1"/>
    <w:qFormat/>
    <w:rsid w:val="00A50CCD"/>
    <w:rPr>
      <w:rFonts w:ascii="Times New Roman" w:eastAsia="Times New Roman" w:hAnsi="Times New Roman" w:cs="Times New Roman"/>
      <w:b/>
      <w:sz w:val="24"/>
      <w:szCs w:val="24"/>
      <w:lang w:val="en-GB" w:eastAsia="en-GB"/>
    </w:rPr>
  </w:style>
  <w:style w:type="paragraph" w:customStyle="1" w:styleId="ListDash">
    <w:name w:val="List Dash"/>
    <w:basedOn w:val="Normal"/>
    <w:rsid w:val="00A50CCD"/>
    <w:pPr>
      <w:numPr>
        <w:numId w:val="3"/>
      </w:numPr>
    </w:pPr>
  </w:style>
  <w:style w:type="paragraph" w:styleId="Header">
    <w:name w:val="header"/>
    <w:basedOn w:val="Normal"/>
    <w:link w:val="HeaderChar"/>
    <w:uiPriority w:val="99"/>
    <w:unhideWhenUsed/>
    <w:rsid w:val="004343CF"/>
    <w:pPr>
      <w:tabs>
        <w:tab w:val="center" w:pos="4513"/>
        <w:tab w:val="right" w:pos="9026"/>
      </w:tabs>
      <w:spacing w:before="0" w:after="0"/>
    </w:pPr>
  </w:style>
  <w:style w:type="character" w:customStyle="1" w:styleId="HeaderChar">
    <w:name w:val="Header Char"/>
    <w:basedOn w:val="DefaultParagraphFont"/>
    <w:link w:val="Header"/>
    <w:uiPriority w:val="99"/>
    <w:rsid w:val="004343CF"/>
    <w:rPr>
      <w:rFonts w:ascii="Times New Roman" w:eastAsia="Times New Roman" w:hAnsi="Times New Roman" w:cs="Times New Roman"/>
      <w:sz w:val="24"/>
      <w:szCs w:val="24"/>
      <w:lang w:val="en-GB" w:eastAsia="en-GB"/>
    </w:rPr>
  </w:style>
  <w:style w:type="paragraph" w:styleId="Footer">
    <w:name w:val="footer"/>
    <w:basedOn w:val="Normal"/>
    <w:link w:val="FooterChar"/>
    <w:uiPriority w:val="99"/>
    <w:unhideWhenUsed/>
    <w:rsid w:val="004343CF"/>
    <w:pPr>
      <w:tabs>
        <w:tab w:val="center" w:pos="4513"/>
        <w:tab w:val="right" w:pos="9026"/>
      </w:tabs>
      <w:spacing w:before="0" w:after="0"/>
    </w:pPr>
  </w:style>
  <w:style w:type="character" w:customStyle="1" w:styleId="FooterChar">
    <w:name w:val="Footer Char"/>
    <w:basedOn w:val="DefaultParagraphFont"/>
    <w:link w:val="Footer"/>
    <w:uiPriority w:val="99"/>
    <w:rsid w:val="004343CF"/>
    <w:rPr>
      <w:rFonts w:ascii="Times New Roman" w:eastAsia="Times New Roman" w:hAnsi="Times New Roman" w:cs="Times New Roman"/>
      <w:sz w:val="24"/>
      <w:szCs w:val="24"/>
      <w:lang w:val="en-GB" w:eastAsia="en-GB"/>
    </w:rPr>
  </w:style>
  <w:style w:type="paragraph" w:styleId="Revision">
    <w:name w:val="Revision"/>
    <w:hidden/>
    <w:uiPriority w:val="99"/>
    <w:semiHidden/>
    <w:rsid w:val="0038355A"/>
    <w:pPr>
      <w:spacing w:after="0" w:line="240" w:lineRule="auto"/>
    </w:pPr>
    <w:rPr>
      <w:rFonts w:ascii="Times New Roman" w:eastAsia="Times New Roman" w:hAnsi="Times New Roman" w:cs="Times New Roman"/>
      <w:sz w:val="24"/>
      <w:szCs w:val="24"/>
      <w:lang w:val="en-GB" w:eastAsia="en-GB"/>
    </w:rPr>
  </w:style>
  <w:style w:type="character" w:styleId="Mention">
    <w:name w:val="Mention"/>
    <w:basedOn w:val="DefaultParagraphFont"/>
    <w:uiPriority w:val="99"/>
    <w:unhideWhenUsed/>
    <w:rsid w:val="008958C6"/>
    <w:rPr>
      <w:color w:val="2B579A"/>
      <w:shd w:val="clear" w:color="auto" w:fill="E1DFDD"/>
    </w:rPr>
  </w:style>
  <w:style w:type="character" w:styleId="FollowedHyperlink">
    <w:name w:val="FollowedHyperlink"/>
    <w:basedOn w:val="DefaultParagraphFont"/>
    <w:uiPriority w:val="99"/>
    <w:semiHidden/>
    <w:unhideWhenUsed/>
    <w:rsid w:val="00F30A51"/>
    <w:rPr>
      <w:color w:val="954F72" w:themeColor="followedHyperlink"/>
      <w:u w:val="single"/>
    </w:rPr>
  </w:style>
  <w:style w:type="paragraph" w:styleId="NormalWeb">
    <w:name w:val="Normal (Web)"/>
    <w:basedOn w:val="Normal"/>
    <w:uiPriority w:val="99"/>
    <w:semiHidden/>
    <w:unhideWhenUsed/>
    <w:rsid w:val="0036613B"/>
    <w:pPr>
      <w:jc w:val="left"/>
    </w:pPr>
    <w:rPr>
      <w:lang w:val="en-IE" w:eastAsia="en-IE"/>
    </w:rPr>
  </w:style>
  <w:style w:type="paragraph" w:customStyle="1" w:styleId="Default">
    <w:name w:val="Default"/>
    <w:rsid w:val="002B5061"/>
    <w:pPr>
      <w:autoSpaceDE w:val="0"/>
      <w:autoSpaceDN w:val="0"/>
      <w:adjustRightInd w:val="0"/>
      <w:spacing w:after="0" w:line="240" w:lineRule="auto"/>
    </w:pPr>
    <w:rPr>
      <w:rFonts w:ascii="Arial" w:hAnsi="Arial" w:cs="Arial"/>
      <w:color w:val="000000"/>
      <w:sz w:val="24"/>
      <w:szCs w:val="24"/>
    </w:rPr>
  </w:style>
  <w:style w:type="paragraph" w:styleId="BodyText">
    <w:name w:val="Body Text"/>
    <w:basedOn w:val="Normal"/>
    <w:link w:val="BodyTextChar"/>
    <w:uiPriority w:val="1"/>
    <w:qFormat/>
    <w:rsid w:val="002B5061"/>
    <w:pPr>
      <w:widowControl w:val="0"/>
      <w:spacing w:before="0" w:beforeAutospacing="0" w:after="0" w:afterAutospacing="0"/>
    </w:pPr>
    <w:rPr>
      <w:rFonts w:ascii="Arial" w:eastAsia="Arial" w:hAnsi="Arial"/>
      <w:noProof/>
      <w:lang w:val="it-IT" w:eastAsia="en-US"/>
    </w:rPr>
  </w:style>
  <w:style w:type="character" w:customStyle="1" w:styleId="BodyTextChar">
    <w:name w:val="Body Text Char"/>
    <w:basedOn w:val="DefaultParagraphFont"/>
    <w:link w:val="BodyText"/>
    <w:uiPriority w:val="1"/>
    <w:rsid w:val="002B5061"/>
    <w:rPr>
      <w:rFonts w:ascii="Arial" w:eastAsia="Arial" w:hAnsi="Arial" w:cs="Times New Roman"/>
      <w:noProof/>
      <w:sz w:val="24"/>
      <w:szCs w:val="24"/>
      <w:lang w:val="it-IT"/>
    </w:rPr>
  </w:style>
  <w:style w:type="table" w:styleId="GridTable5Dark-Accent3">
    <w:name w:val="Grid Table 5 Dark Accent 3"/>
    <w:basedOn w:val="TableNormal"/>
    <w:uiPriority w:val="50"/>
    <w:rsid w:val="002B5061"/>
    <w:pPr>
      <w:spacing w:after="0" w:line="240" w:lineRule="auto"/>
    </w:pPr>
    <w:rPr>
      <w:lang w:val="it-IT"/>
      <w14:ligatures w14:val="standardContextual"/>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Grigliatabella1">
    <w:name w:val="Griglia tabella1"/>
    <w:basedOn w:val="TableNormal"/>
    <w:next w:val="TableGrid"/>
    <w:uiPriority w:val="39"/>
    <w:rsid w:val="002B5061"/>
    <w:pPr>
      <w:spacing w:after="0" w:line="240" w:lineRule="auto"/>
    </w:pPr>
    <w:rPr>
      <w:lang w:val="en-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i-provider">
    <w:name w:val="ui-provider"/>
    <w:basedOn w:val="DefaultParagraphFont"/>
    <w:rsid w:val="002B5061"/>
  </w:style>
  <w:style w:type="character" w:styleId="Strong">
    <w:name w:val="Strong"/>
    <w:basedOn w:val="DefaultParagraphFont"/>
    <w:uiPriority w:val="22"/>
    <w:qFormat/>
    <w:rsid w:val="002B5061"/>
    <w:rPr>
      <w:b/>
      <w:bCs/>
    </w:rPr>
  </w:style>
  <w:style w:type="paragraph" w:styleId="Caption">
    <w:name w:val="caption"/>
    <w:basedOn w:val="Normal"/>
    <w:next w:val="Normal"/>
    <w:uiPriority w:val="35"/>
    <w:unhideWhenUsed/>
    <w:qFormat/>
    <w:rsid w:val="002B5061"/>
    <w:pPr>
      <w:spacing w:before="0" w:after="200"/>
    </w:pPr>
    <w:rPr>
      <w:i/>
      <w:iCs/>
      <w:color w:val="44546A" w:themeColor="text2"/>
      <w:sz w:val="18"/>
      <w:szCs w:val="18"/>
    </w:rPr>
  </w:style>
  <w:style w:type="paragraph" w:styleId="Title">
    <w:name w:val="Title"/>
    <w:basedOn w:val="Normal"/>
    <w:next w:val="Normal"/>
    <w:link w:val="TitleChar"/>
    <w:uiPriority w:val="10"/>
    <w:qFormat/>
    <w:rsid w:val="002B5061"/>
    <w:pPr>
      <w:spacing w:before="0" w:after="0"/>
      <w:contextualSpacing/>
      <w:jc w:val="center"/>
    </w:pPr>
    <w:rPr>
      <w:rFonts w:eastAsiaTheme="majorEastAsia" w:cstheme="majorBidi"/>
      <w:b/>
      <w:spacing w:val="-10"/>
      <w:kern w:val="28"/>
      <w:sz w:val="28"/>
      <w:szCs w:val="56"/>
    </w:rPr>
  </w:style>
  <w:style w:type="character" w:customStyle="1" w:styleId="TitleChar">
    <w:name w:val="Title Char"/>
    <w:basedOn w:val="DefaultParagraphFont"/>
    <w:link w:val="Title"/>
    <w:uiPriority w:val="10"/>
    <w:rsid w:val="002B5061"/>
    <w:rPr>
      <w:rFonts w:ascii="Times New Roman" w:eastAsiaTheme="majorEastAsia" w:hAnsi="Times New Roman" w:cstheme="majorBidi"/>
      <w:b/>
      <w:spacing w:val="-10"/>
      <w:kern w:val="28"/>
      <w:sz w:val="28"/>
      <w:szCs w:val="56"/>
      <w:lang w:val="en-GB" w:eastAsia="en-GB"/>
    </w:rPr>
  </w:style>
  <w:style w:type="paragraph" w:styleId="TOCHeading">
    <w:name w:val="TOC Heading"/>
    <w:basedOn w:val="Heading1"/>
    <w:next w:val="Normal"/>
    <w:uiPriority w:val="39"/>
    <w:unhideWhenUsed/>
    <w:qFormat/>
    <w:rsid w:val="002B5061"/>
    <w:pPr>
      <w:keepLines/>
      <w:spacing w:after="0" w:line="259" w:lineRule="auto"/>
      <w:jc w:val="left"/>
      <w:outlineLvl w:val="9"/>
    </w:pPr>
    <w:rPr>
      <w:rFonts w:asciiTheme="majorHAnsi" w:eastAsiaTheme="majorEastAsia" w:hAnsiTheme="majorHAnsi" w:cstheme="majorBidi"/>
      <w:b w:val="0"/>
      <w:smallCaps w:val="0"/>
      <w:color w:val="2E74B5" w:themeColor="accent1" w:themeShade="BF"/>
      <w:sz w:val="32"/>
      <w:szCs w:val="32"/>
      <w:lang w:val="en-US" w:eastAsia="en-US"/>
    </w:rPr>
  </w:style>
  <w:style w:type="paragraph" w:styleId="TOC1">
    <w:name w:val="toc 1"/>
    <w:basedOn w:val="Normal"/>
    <w:next w:val="Normal"/>
    <w:autoRedefine/>
    <w:uiPriority w:val="39"/>
    <w:unhideWhenUsed/>
    <w:rsid w:val="002B5061"/>
  </w:style>
  <w:style w:type="paragraph" w:styleId="TOC2">
    <w:name w:val="toc 2"/>
    <w:basedOn w:val="Normal"/>
    <w:next w:val="Normal"/>
    <w:autoRedefine/>
    <w:uiPriority w:val="39"/>
    <w:unhideWhenUsed/>
    <w:rsid w:val="002B5061"/>
    <w:pPr>
      <w:ind w:left="240"/>
    </w:pPr>
  </w:style>
  <w:style w:type="character" w:customStyle="1" w:styleId="normaltextrun">
    <w:name w:val="normaltextrun"/>
    <w:basedOn w:val="DefaultParagraphFont"/>
    <w:rsid w:val="00FF75FC"/>
  </w:style>
  <w:style w:type="character" w:customStyle="1" w:styleId="eop">
    <w:name w:val="eop"/>
    <w:basedOn w:val="DefaultParagraphFont"/>
    <w:rsid w:val="00FF75FC"/>
  </w:style>
  <w:style w:type="paragraph" w:styleId="TableofFigures">
    <w:name w:val="table of figures"/>
    <w:basedOn w:val="Normal"/>
    <w:next w:val="Normal"/>
    <w:uiPriority w:val="99"/>
    <w:unhideWhenUsed/>
    <w:rsid w:val="00A33ED1"/>
    <w:pPr>
      <w:spacing w:after="0"/>
    </w:pPr>
  </w:style>
  <w:style w:type="table" w:customStyle="1" w:styleId="TableGrid1">
    <w:name w:val="Table Grid1"/>
    <w:basedOn w:val="TableNormal"/>
    <w:next w:val="TableGrid"/>
    <w:uiPriority w:val="39"/>
    <w:rsid w:val="00190B42"/>
    <w:pPr>
      <w:spacing w:after="0" w:line="240" w:lineRule="auto"/>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B17E1F"/>
    <w:pPr>
      <w:spacing w:after="0" w:line="240" w:lineRule="auto"/>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0523">
      <w:bodyDiv w:val="1"/>
      <w:marLeft w:val="0"/>
      <w:marRight w:val="0"/>
      <w:marTop w:val="0"/>
      <w:marBottom w:val="0"/>
      <w:divBdr>
        <w:top w:val="none" w:sz="0" w:space="0" w:color="auto"/>
        <w:left w:val="none" w:sz="0" w:space="0" w:color="auto"/>
        <w:bottom w:val="none" w:sz="0" w:space="0" w:color="auto"/>
        <w:right w:val="none" w:sz="0" w:space="0" w:color="auto"/>
      </w:divBdr>
    </w:div>
    <w:div w:id="18941595">
      <w:bodyDiv w:val="1"/>
      <w:marLeft w:val="0"/>
      <w:marRight w:val="0"/>
      <w:marTop w:val="0"/>
      <w:marBottom w:val="0"/>
      <w:divBdr>
        <w:top w:val="none" w:sz="0" w:space="0" w:color="auto"/>
        <w:left w:val="none" w:sz="0" w:space="0" w:color="auto"/>
        <w:bottom w:val="none" w:sz="0" w:space="0" w:color="auto"/>
        <w:right w:val="none" w:sz="0" w:space="0" w:color="auto"/>
      </w:divBdr>
    </w:div>
    <w:div w:id="93676993">
      <w:bodyDiv w:val="1"/>
      <w:marLeft w:val="0"/>
      <w:marRight w:val="0"/>
      <w:marTop w:val="0"/>
      <w:marBottom w:val="0"/>
      <w:divBdr>
        <w:top w:val="none" w:sz="0" w:space="0" w:color="auto"/>
        <w:left w:val="none" w:sz="0" w:space="0" w:color="auto"/>
        <w:bottom w:val="none" w:sz="0" w:space="0" w:color="auto"/>
        <w:right w:val="none" w:sz="0" w:space="0" w:color="auto"/>
      </w:divBdr>
    </w:div>
    <w:div w:id="113451006">
      <w:bodyDiv w:val="1"/>
      <w:marLeft w:val="0"/>
      <w:marRight w:val="0"/>
      <w:marTop w:val="0"/>
      <w:marBottom w:val="0"/>
      <w:divBdr>
        <w:top w:val="none" w:sz="0" w:space="0" w:color="auto"/>
        <w:left w:val="none" w:sz="0" w:space="0" w:color="auto"/>
        <w:bottom w:val="none" w:sz="0" w:space="0" w:color="auto"/>
        <w:right w:val="none" w:sz="0" w:space="0" w:color="auto"/>
      </w:divBdr>
    </w:div>
    <w:div w:id="116726597">
      <w:bodyDiv w:val="1"/>
      <w:marLeft w:val="0"/>
      <w:marRight w:val="0"/>
      <w:marTop w:val="0"/>
      <w:marBottom w:val="0"/>
      <w:divBdr>
        <w:top w:val="none" w:sz="0" w:space="0" w:color="auto"/>
        <w:left w:val="none" w:sz="0" w:space="0" w:color="auto"/>
        <w:bottom w:val="none" w:sz="0" w:space="0" w:color="auto"/>
        <w:right w:val="none" w:sz="0" w:space="0" w:color="auto"/>
      </w:divBdr>
    </w:div>
    <w:div w:id="121579759">
      <w:bodyDiv w:val="1"/>
      <w:marLeft w:val="0"/>
      <w:marRight w:val="0"/>
      <w:marTop w:val="0"/>
      <w:marBottom w:val="0"/>
      <w:divBdr>
        <w:top w:val="none" w:sz="0" w:space="0" w:color="auto"/>
        <w:left w:val="none" w:sz="0" w:space="0" w:color="auto"/>
        <w:bottom w:val="none" w:sz="0" w:space="0" w:color="auto"/>
        <w:right w:val="none" w:sz="0" w:space="0" w:color="auto"/>
      </w:divBdr>
    </w:div>
    <w:div w:id="138304288">
      <w:bodyDiv w:val="1"/>
      <w:marLeft w:val="0"/>
      <w:marRight w:val="0"/>
      <w:marTop w:val="0"/>
      <w:marBottom w:val="0"/>
      <w:divBdr>
        <w:top w:val="none" w:sz="0" w:space="0" w:color="auto"/>
        <w:left w:val="none" w:sz="0" w:space="0" w:color="auto"/>
        <w:bottom w:val="none" w:sz="0" w:space="0" w:color="auto"/>
        <w:right w:val="none" w:sz="0" w:space="0" w:color="auto"/>
      </w:divBdr>
    </w:div>
    <w:div w:id="143013838">
      <w:bodyDiv w:val="1"/>
      <w:marLeft w:val="0"/>
      <w:marRight w:val="0"/>
      <w:marTop w:val="0"/>
      <w:marBottom w:val="0"/>
      <w:divBdr>
        <w:top w:val="none" w:sz="0" w:space="0" w:color="auto"/>
        <w:left w:val="none" w:sz="0" w:space="0" w:color="auto"/>
        <w:bottom w:val="none" w:sz="0" w:space="0" w:color="auto"/>
        <w:right w:val="none" w:sz="0" w:space="0" w:color="auto"/>
      </w:divBdr>
    </w:div>
    <w:div w:id="160510477">
      <w:bodyDiv w:val="1"/>
      <w:marLeft w:val="0"/>
      <w:marRight w:val="0"/>
      <w:marTop w:val="0"/>
      <w:marBottom w:val="0"/>
      <w:divBdr>
        <w:top w:val="none" w:sz="0" w:space="0" w:color="auto"/>
        <w:left w:val="none" w:sz="0" w:space="0" w:color="auto"/>
        <w:bottom w:val="none" w:sz="0" w:space="0" w:color="auto"/>
        <w:right w:val="none" w:sz="0" w:space="0" w:color="auto"/>
      </w:divBdr>
    </w:div>
    <w:div w:id="363411603">
      <w:bodyDiv w:val="1"/>
      <w:marLeft w:val="0"/>
      <w:marRight w:val="0"/>
      <w:marTop w:val="0"/>
      <w:marBottom w:val="0"/>
      <w:divBdr>
        <w:top w:val="none" w:sz="0" w:space="0" w:color="auto"/>
        <w:left w:val="none" w:sz="0" w:space="0" w:color="auto"/>
        <w:bottom w:val="none" w:sz="0" w:space="0" w:color="auto"/>
        <w:right w:val="none" w:sz="0" w:space="0" w:color="auto"/>
      </w:divBdr>
    </w:div>
    <w:div w:id="383256992">
      <w:bodyDiv w:val="1"/>
      <w:marLeft w:val="0"/>
      <w:marRight w:val="0"/>
      <w:marTop w:val="0"/>
      <w:marBottom w:val="0"/>
      <w:divBdr>
        <w:top w:val="none" w:sz="0" w:space="0" w:color="auto"/>
        <w:left w:val="none" w:sz="0" w:space="0" w:color="auto"/>
        <w:bottom w:val="none" w:sz="0" w:space="0" w:color="auto"/>
        <w:right w:val="none" w:sz="0" w:space="0" w:color="auto"/>
      </w:divBdr>
    </w:div>
    <w:div w:id="439498053">
      <w:bodyDiv w:val="1"/>
      <w:marLeft w:val="0"/>
      <w:marRight w:val="0"/>
      <w:marTop w:val="0"/>
      <w:marBottom w:val="0"/>
      <w:divBdr>
        <w:top w:val="none" w:sz="0" w:space="0" w:color="auto"/>
        <w:left w:val="none" w:sz="0" w:space="0" w:color="auto"/>
        <w:bottom w:val="none" w:sz="0" w:space="0" w:color="auto"/>
        <w:right w:val="none" w:sz="0" w:space="0" w:color="auto"/>
      </w:divBdr>
    </w:div>
    <w:div w:id="463349306">
      <w:bodyDiv w:val="1"/>
      <w:marLeft w:val="0"/>
      <w:marRight w:val="0"/>
      <w:marTop w:val="0"/>
      <w:marBottom w:val="0"/>
      <w:divBdr>
        <w:top w:val="none" w:sz="0" w:space="0" w:color="auto"/>
        <w:left w:val="none" w:sz="0" w:space="0" w:color="auto"/>
        <w:bottom w:val="none" w:sz="0" w:space="0" w:color="auto"/>
        <w:right w:val="none" w:sz="0" w:space="0" w:color="auto"/>
      </w:divBdr>
    </w:div>
    <w:div w:id="603921308">
      <w:bodyDiv w:val="1"/>
      <w:marLeft w:val="0"/>
      <w:marRight w:val="0"/>
      <w:marTop w:val="0"/>
      <w:marBottom w:val="0"/>
      <w:divBdr>
        <w:top w:val="none" w:sz="0" w:space="0" w:color="auto"/>
        <w:left w:val="none" w:sz="0" w:space="0" w:color="auto"/>
        <w:bottom w:val="none" w:sz="0" w:space="0" w:color="auto"/>
        <w:right w:val="none" w:sz="0" w:space="0" w:color="auto"/>
      </w:divBdr>
    </w:div>
    <w:div w:id="729117904">
      <w:bodyDiv w:val="1"/>
      <w:marLeft w:val="0"/>
      <w:marRight w:val="0"/>
      <w:marTop w:val="0"/>
      <w:marBottom w:val="0"/>
      <w:divBdr>
        <w:top w:val="none" w:sz="0" w:space="0" w:color="auto"/>
        <w:left w:val="none" w:sz="0" w:space="0" w:color="auto"/>
        <w:bottom w:val="none" w:sz="0" w:space="0" w:color="auto"/>
        <w:right w:val="none" w:sz="0" w:space="0" w:color="auto"/>
      </w:divBdr>
    </w:div>
    <w:div w:id="812604346">
      <w:bodyDiv w:val="1"/>
      <w:marLeft w:val="0"/>
      <w:marRight w:val="0"/>
      <w:marTop w:val="0"/>
      <w:marBottom w:val="0"/>
      <w:divBdr>
        <w:top w:val="none" w:sz="0" w:space="0" w:color="auto"/>
        <w:left w:val="none" w:sz="0" w:space="0" w:color="auto"/>
        <w:bottom w:val="none" w:sz="0" w:space="0" w:color="auto"/>
        <w:right w:val="none" w:sz="0" w:space="0" w:color="auto"/>
      </w:divBdr>
    </w:div>
    <w:div w:id="882794202">
      <w:bodyDiv w:val="1"/>
      <w:marLeft w:val="0"/>
      <w:marRight w:val="0"/>
      <w:marTop w:val="0"/>
      <w:marBottom w:val="0"/>
      <w:divBdr>
        <w:top w:val="none" w:sz="0" w:space="0" w:color="auto"/>
        <w:left w:val="none" w:sz="0" w:space="0" w:color="auto"/>
        <w:bottom w:val="none" w:sz="0" w:space="0" w:color="auto"/>
        <w:right w:val="none" w:sz="0" w:space="0" w:color="auto"/>
      </w:divBdr>
    </w:div>
    <w:div w:id="884757298">
      <w:bodyDiv w:val="1"/>
      <w:marLeft w:val="0"/>
      <w:marRight w:val="0"/>
      <w:marTop w:val="0"/>
      <w:marBottom w:val="0"/>
      <w:divBdr>
        <w:top w:val="none" w:sz="0" w:space="0" w:color="auto"/>
        <w:left w:val="none" w:sz="0" w:space="0" w:color="auto"/>
        <w:bottom w:val="none" w:sz="0" w:space="0" w:color="auto"/>
        <w:right w:val="none" w:sz="0" w:space="0" w:color="auto"/>
      </w:divBdr>
    </w:div>
    <w:div w:id="885143726">
      <w:bodyDiv w:val="1"/>
      <w:marLeft w:val="0"/>
      <w:marRight w:val="0"/>
      <w:marTop w:val="0"/>
      <w:marBottom w:val="0"/>
      <w:divBdr>
        <w:top w:val="none" w:sz="0" w:space="0" w:color="auto"/>
        <w:left w:val="none" w:sz="0" w:space="0" w:color="auto"/>
        <w:bottom w:val="none" w:sz="0" w:space="0" w:color="auto"/>
        <w:right w:val="none" w:sz="0" w:space="0" w:color="auto"/>
      </w:divBdr>
    </w:div>
    <w:div w:id="887566865">
      <w:bodyDiv w:val="1"/>
      <w:marLeft w:val="0"/>
      <w:marRight w:val="0"/>
      <w:marTop w:val="0"/>
      <w:marBottom w:val="0"/>
      <w:divBdr>
        <w:top w:val="none" w:sz="0" w:space="0" w:color="auto"/>
        <w:left w:val="none" w:sz="0" w:space="0" w:color="auto"/>
        <w:bottom w:val="none" w:sz="0" w:space="0" w:color="auto"/>
        <w:right w:val="none" w:sz="0" w:space="0" w:color="auto"/>
      </w:divBdr>
    </w:div>
    <w:div w:id="918179288">
      <w:bodyDiv w:val="1"/>
      <w:marLeft w:val="0"/>
      <w:marRight w:val="0"/>
      <w:marTop w:val="0"/>
      <w:marBottom w:val="0"/>
      <w:divBdr>
        <w:top w:val="none" w:sz="0" w:space="0" w:color="auto"/>
        <w:left w:val="none" w:sz="0" w:space="0" w:color="auto"/>
        <w:bottom w:val="none" w:sz="0" w:space="0" w:color="auto"/>
        <w:right w:val="none" w:sz="0" w:space="0" w:color="auto"/>
      </w:divBdr>
    </w:div>
    <w:div w:id="944849686">
      <w:bodyDiv w:val="1"/>
      <w:marLeft w:val="0"/>
      <w:marRight w:val="0"/>
      <w:marTop w:val="0"/>
      <w:marBottom w:val="0"/>
      <w:divBdr>
        <w:top w:val="none" w:sz="0" w:space="0" w:color="auto"/>
        <w:left w:val="none" w:sz="0" w:space="0" w:color="auto"/>
        <w:bottom w:val="none" w:sz="0" w:space="0" w:color="auto"/>
        <w:right w:val="none" w:sz="0" w:space="0" w:color="auto"/>
      </w:divBdr>
    </w:div>
    <w:div w:id="955336131">
      <w:bodyDiv w:val="1"/>
      <w:marLeft w:val="0"/>
      <w:marRight w:val="0"/>
      <w:marTop w:val="0"/>
      <w:marBottom w:val="0"/>
      <w:divBdr>
        <w:top w:val="none" w:sz="0" w:space="0" w:color="auto"/>
        <w:left w:val="none" w:sz="0" w:space="0" w:color="auto"/>
        <w:bottom w:val="none" w:sz="0" w:space="0" w:color="auto"/>
        <w:right w:val="none" w:sz="0" w:space="0" w:color="auto"/>
      </w:divBdr>
    </w:div>
    <w:div w:id="965966513">
      <w:bodyDiv w:val="1"/>
      <w:marLeft w:val="0"/>
      <w:marRight w:val="0"/>
      <w:marTop w:val="0"/>
      <w:marBottom w:val="0"/>
      <w:divBdr>
        <w:top w:val="none" w:sz="0" w:space="0" w:color="auto"/>
        <w:left w:val="none" w:sz="0" w:space="0" w:color="auto"/>
        <w:bottom w:val="none" w:sz="0" w:space="0" w:color="auto"/>
        <w:right w:val="none" w:sz="0" w:space="0" w:color="auto"/>
      </w:divBdr>
    </w:div>
    <w:div w:id="984091112">
      <w:bodyDiv w:val="1"/>
      <w:marLeft w:val="0"/>
      <w:marRight w:val="0"/>
      <w:marTop w:val="0"/>
      <w:marBottom w:val="0"/>
      <w:divBdr>
        <w:top w:val="none" w:sz="0" w:space="0" w:color="auto"/>
        <w:left w:val="none" w:sz="0" w:space="0" w:color="auto"/>
        <w:bottom w:val="none" w:sz="0" w:space="0" w:color="auto"/>
        <w:right w:val="none" w:sz="0" w:space="0" w:color="auto"/>
      </w:divBdr>
    </w:div>
    <w:div w:id="1014766126">
      <w:bodyDiv w:val="1"/>
      <w:marLeft w:val="0"/>
      <w:marRight w:val="0"/>
      <w:marTop w:val="0"/>
      <w:marBottom w:val="0"/>
      <w:divBdr>
        <w:top w:val="none" w:sz="0" w:space="0" w:color="auto"/>
        <w:left w:val="none" w:sz="0" w:space="0" w:color="auto"/>
        <w:bottom w:val="none" w:sz="0" w:space="0" w:color="auto"/>
        <w:right w:val="none" w:sz="0" w:space="0" w:color="auto"/>
      </w:divBdr>
    </w:div>
    <w:div w:id="1034427473">
      <w:bodyDiv w:val="1"/>
      <w:marLeft w:val="0"/>
      <w:marRight w:val="0"/>
      <w:marTop w:val="0"/>
      <w:marBottom w:val="0"/>
      <w:divBdr>
        <w:top w:val="none" w:sz="0" w:space="0" w:color="auto"/>
        <w:left w:val="none" w:sz="0" w:space="0" w:color="auto"/>
        <w:bottom w:val="none" w:sz="0" w:space="0" w:color="auto"/>
        <w:right w:val="none" w:sz="0" w:space="0" w:color="auto"/>
      </w:divBdr>
    </w:div>
    <w:div w:id="1037775484">
      <w:bodyDiv w:val="1"/>
      <w:marLeft w:val="0"/>
      <w:marRight w:val="0"/>
      <w:marTop w:val="0"/>
      <w:marBottom w:val="0"/>
      <w:divBdr>
        <w:top w:val="none" w:sz="0" w:space="0" w:color="auto"/>
        <w:left w:val="none" w:sz="0" w:space="0" w:color="auto"/>
        <w:bottom w:val="none" w:sz="0" w:space="0" w:color="auto"/>
        <w:right w:val="none" w:sz="0" w:space="0" w:color="auto"/>
      </w:divBdr>
    </w:div>
    <w:div w:id="1038898310">
      <w:bodyDiv w:val="1"/>
      <w:marLeft w:val="0"/>
      <w:marRight w:val="0"/>
      <w:marTop w:val="0"/>
      <w:marBottom w:val="0"/>
      <w:divBdr>
        <w:top w:val="none" w:sz="0" w:space="0" w:color="auto"/>
        <w:left w:val="none" w:sz="0" w:space="0" w:color="auto"/>
        <w:bottom w:val="none" w:sz="0" w:space="0" w:color="auto"/>
        <w:right w:val="none" w:sz="0" w:space="0" w:color="auto"/>
      </w:divBdr>
    </w:div>
    <w:div w:id="1102839846">
      <w:bodyDiv w:val="1"/>
      <w:marLeft w:val="0"/>
      <w:marRight w:val="0"/>
      <w:marTop w:val="0"/>
      <w:marBottom w:val="0"/>
      <w:divBdr>
        <w:top w:val="none" w:sz="0" w:space="0" w:color="auto"/>
        <w:left w:val="none" w:sz="0" w:space="0" w:color="auto"/>
        <w:bottom w:val="none" w:sz="0" w:space="0" w:color="auto"/>
        <w:right w:val="none" w:sz="0" w:space="0" w:color="auto"/>
      </w:divBdr>
    </w:div>
    <w:div w:id="1247227339">
      <w:bodyDiv w:val="1"/>
      <w:marLeft w:val="0"/>
      <w:marRight w:val="0"/>
      <w:marTop w:val="0"/>
      <w:marBottom w:val="0"/>
      <w:divBdr>
        <w:top w:val="none" w:sz="0" w:space="0" w:color="auto"/>
        <w:left w:val="none" w:sz="0" w:space="0" w:color="auto"/>
        <w:bottom w:val="none" w:sz="0" w:space="0" w:color="auto"/>
        <w:right w:val="none" w:sz="0" w:space="0" w:color="auto"/>
      </w:divBdr>
    </w:div>
    <w:div w:id="1267885760">
      <w:bodyDiv w:val="1"/>
      <w:marLeft w:val="0"/>
      <w:marRight w:val="0"/>
      <w:marTop w:val="0"/>
      <w:marBottom w:val="0"/>
      <w:divBdr>
        <w:top w:val="none" w:sz="0" w:space="0" w:color="auto"/>
        <w:left w:val="none" w:sz="0" w:space="0" w:color="auto"/>
        <w:bottom w:val="none" w:sz="0" w:space="0" w:color="auto"/>
        <w:right w:val="none" w:sz="0" w:space="0" w:color="auto"/>
      </w:divBdr>
    </w:div>
    <w:div w:id="1309240574">
      <w:bodyDiv w:val="1"/>
      <w:marLeft w:val="0"/>
      <w:marRight w:val="0"/>
      <w:marTop w:val="0"/>
      <w:marBottom w:val="0"/>
      <w:divBdr>
        <w:top w:val="none" w:sz="0" w:space="0" w:color="auto"/>
        <w:left w:val="none" w:sz="0" w:space="0" w:color="auto"/>
        <w:bottom w:val="none" w:sz="0" w:space="0" w:color="auto"/>
        <w:right w:val="none" w:sz="0" w:space="0" w:color="auto"/>
      </w:divBdr>
    </w:div>
    <w:div w:id="1312176363">
      <w:bodyDiv w:val="1"/>
      <w:marLeft w:val="0"/>
      <w:marRight w:val="0"/>
      <w:marTop w:val="0"/>
      <w:marBottom w:val="0"/>
      <w:divBdr>
        <w:top w:val="none" w:sz="0" w:space="0" w:color="auto"/>
        <w:left w:val="none" w:sz="0" w:space="0" w:color="auto"/>
        <w:bottom w:val="none" w:sz="0" w:space="0" w:color="auto"/>
        <w:right w:val="none" w:sz="0" w:space="0" w:color="auto"/>
      </w:divBdr>
    </w:div>
    <w:div w:id="1359433560">
      <w:bodyDiv w:val="1"/>
      <w:marLeft w:val="0"/>
      <w:marRight w:val="0"/>
      <w:marTop w:val="0"/>
      <w:marBottom w:val="0"/>
      <w:divBdr>
        <w:top w:val="none" w:sz="0" w:space="0" w:color="auto"/>
        <w:left w:val="none" w:sz="0" w:space="0" w:color="auto"/>
        <w:bottom w:val="none" w:sz="0" w:space="0" w:color="auto"/>
        <w:right w:val="none" w:sz="0" w:space="0" w:color="auto"/>
      </w:divBdr>
    </w:div>
    <w:div w:id="1371612308">
      <w:bodyDiv w:val="1"/>
      <w:marLeft w:val="0"/>
      <w:marRight w:val="0"/>
      <w:marTop w:val="0"/>
      <w:marBottom w:val="0"/>
      <w:divBdr>
        <w:top w:val="none" w:sz="0" w:space="0" w:color="auto"/>
        <w:left w:val="none" w:sz="0" w:space="0" w:color="auto"/>
        <w:bottom w:val="none" w:sz="0" w:space="0" w:color="auto"/>
        <w:right w:val="none" w:sz="0" w:space="0" w:color="auto"/>
      </w:divBdr>
    </w:div>
    <w:div w:id="1455054971">
      <w:bodyDiv w:val="1"/>
      <w:marLeft w:val="0"/>
      <w:marRight w:val="0"/>
      <w:marTop w:val="0"/>
      <w:marBottom w:val="0"/>
      <w:divBdr>
        <w:top w:val="none" w:sz="0" w:space="0" w:color="auto"/>
        <w:left w:val="none" w:sz="0" w:space="0" w:color="auto"/>
        <w:bottom w:val="none" w:sz="0" w:space="0" w:color="auto"/>
        <w:right w:val="none" w:sz="0" w:space="0" w:color="auto"/>
      </w:divBdr>
    </w:div>
    <w:div w:id="1481582662">
      <w:bodyDiv w:val="1"/>
      <w:marLeft w:val="0"/>
      <w:marRight w:val="0"/>
      <w:marTop w:val="0"/>
      <w:marBottom w:val="0"/>
      <w:divBdr>
        <w:top w:val="none" w:sz="0" w:space="0" w:color="auto"/>
        <w:left w:val="none" w:sz="0" w:space="0" w:color="auto"/>
        <w:bottom w:val="none" w:sz="0" w:space="0" w:color="auto"/>
        <w:right w:val="none" w:sz="0" w:space="0" w:color="auto"/>
      </w:divBdr>
    </w:div>
    <w:div w:id="1493988508">
      <w:bodyDiv w:val="1"/>
      <w:marLeft w:val="0"/>
      <w:marRight w:val="0"/>
      <w:marTop w:val="0"/>
      <w:marBottom w:val="0"/>
      <w:divBdr>
        <w:top w:val="none" w:sz="0" w:space="0" w:color="auto"/>
        <w:left w:val="none" w:sz="0" w:space="0" w:color="auto"/>
        <w:bottom w:val="none" w:sz="0" w:space="0" w:color="auto"/>
        <w:right w:val="none" w:sz="0" w:space="0" w:color="auto"/>
      </w:divBdr>
    </w:div>
    <w:div w:id="1505970112">
      <w:bodyDiv w:val="1"/>
      <w:marLeft w:val="0"/>
      <w:marRight w:val="0"/>
      <w:marTop w:val="0"/>
      <w:marBottom w:val="0"/>
      <w:divBdr>
        <w:top w:val="none" w:sz="0" w:space="0" w:color="auto"/>
        <w:left w:val="none" w:sz="0" w:space="0" w:color="auto"/>
        <w:bottom w:val="none" w:sz="0" w:space="0" w:color="auto"/>
        <w:right w:val="none" w:sz="0" w:space="0" w:color="auto"/>
      </w:divBdr>
    </w:div>
    <w:div w:id="1590113090">
      <w:bodyDiv w:val="1"/>
      <w:marLeft w:val="0"/>
      <w:marRight w:val="0"/>
      <w:marTop w:val="0"/>
      <w:marBottom w:val="0"/>
      <w:divBdr>
        <w:top w:val="none" w:sz="0" w:space="0" w:color="auto"/>
        <w:left w:val="none" w:sz="0" w:space="0" w:color="auto"/>
        <w:bottom w:val="none" w:sz="0" w:space="0" w:color="auto"/>
        <w:right w:val="none" w:sz="0" w:space="0" w:color="auto"/>
      </w:divBdr>
    </w:div>
    <w:div w:id="1629706346">
      <w:bodyDiv w:val="1"/>
      <w:marLeft w:val="0"/>
      <w:marRight w:val="0"/>
      <w:marTop w:val="0"/>
      <w:marBottom w:val="0"/>
      <w:divBdr>
        <w:top w:val="none" w:sz="0" w:space="0" w:color="auto"/>
        <w:left w:val="none" w:sz="0" w:space="0" w:color="auto"/>
        <w:bottom w:val="none" w:sz="0" w:space="0" w:color="auto"/>
        <w:right w:val="none" w:sz="0" w:space="0" w:color="auto"/>
      </w:divBdr>
    </w:div>
    <w:div w:id="1670135807">
      <w:bodyDiv w:val="1"/>
      <w:marLeft w:val="0"/>
      <w:marRight w:val="0"/>
      <w:marTop w:val="0"/>
      <w:marBottom w:val="0"/>
      <w:divBdr>
        <w:top w:val="none" w:sz="0" w:space="0" w:color="auto"/>
        <w:left w:val="none" w:sz="0" w:space="0" w:color="auto"/>
        <w:bottom w:val="none" w:sz="0" w:space="0" w:color="auto"/>
        <w:right w:val="none" w:sz="0" w:space="0" w:color="auto"/>
      </w:divBdr>
    </w:div>
    <w:div w:id="1754935392">
      <w:bodyDiv w:val="1"/>
      <w:marLeft w:val="0"/>
      <w:marRight w:val="0"/>
      <w:marTop w:val="0"/>
      <w:marBottom w:val="0"/>
      <w:divBdr>
        <w:top w:val="none" w:sz="0" w:space="0" w:color="auto"/>
        <w:left w:val="none" w:sz="0" w:space="0" w:color="auto"/>
        <w:bottom w:val="none" w:sz="0" w:space="0" w:color="auto"/>
        <w:right w:val="none" w:sz="0" w:space="0" w:color="auto"/>
      </w:divBdr>
    </w:div>
    <w:div w:id="1756434548">
      <w:bodyDiv w:val="1"/>
      <w:marLeft w:val="0"/>
      <w:marRight w:val="0"/>
      <w:marTop w:val="0"/>
      <w:marBottom w:val="0"/>
      <w:divBdr>
        <w:top w:val="none" w:sz="0" w:space="0" w:color="auto"/>
        <w:left w:val="none" w:sz="0" w:space="0" w:color="auto"/>
        <w:bottom w:val="none" w:sz="0" w:space="0" w:color="auto"/>
        <w:right w:val="none" w:sz="0" w:space="0" w:color="auto"/>
      </w:divBdr>
    </w:div>
    <w:div w:id="1801147789">
      <w:bodyDiv w:val="1"/>
      <w:marLeft w:val="0"/>
      <w:marRight w:val="0"/>
      <w:marTop w:val="0"/>
      <w:marBottom w:val="0"/>
      <w:divBdr>
        <w:top w:val="none" w:sz="0" w:space="0" w:color="auto"/>
        <w:left w:val="none" w:sz="0" w:space="0" w:color="auto"/>
        <w:bottom w:val="none" w:sz="0" w:space="0" w:color="auto"/>
        <w:right w:val="none" w:sz="0" w:space="0" w:color="auto"/>
      </w:divBdr>
    </w:div>
    <w:div w:id="1815871953">
      <w:bodyDiv w:val="1"/>
      <w:marLeft w:val="0"/>
      <w:marRight w:val="0"/>
      <w:marTop w:val="0"/>
      <w:marBottom w:val="0"/>
      <w:divBdr>
        <w:top w:val="none" w:sz="0" w:space="0" w:color="auto"/>
        <w:left w:val="none" w:sz="0" w:space="0" w:color="auto"/>
        <w:bottom w:val="none" w:sz="0" w:space="0" w:color="auto"/>
        <w:right w:val="none" w:sz="0" w:space="0" w:color="auto"/>
      </w:divBdr>
    </w:div>
    <w:div w:id="1839075857">
      <w:bodyDiv w:val="1"/>
      <w:marLeft w:val="0"/>
      <w:marRight w:val="0"/>
      <w:marTop w:val="0"/>
      <w:marBottom w:val="0"/>
      <w:divBdr>
        <w:top w:val="none" w:sz="0" w:space="0" w:color="auto"/>
        <w:left w:val="none" w:sz="0" w:space="0" w:color="auto"/>
        <w:bottom w:val="none" w:sz="0" w:space="0" w:color="auto"/>
        <w:right w:val="none" w:sz="0" w:space="0" w:color="auto"/>
      </w:divBdr>
    </w:div>
    <w:div w:id="1887445746">
      <w:bodyDiv w:val="1"/>
      <w:marLeft w:val="0"/>
      <w:marRight w:val="0"/>
      <w:marTop w:val="0"/>
      <w:marBottom w:val="0"/>
      <w:divBdr>
        <w:top w:val="none" w:sz="0" w:space="0" w:color="auto"/>
        <w:left w:val="none" w:sz="0" w:space="0" w:color="auto"/>
        <w:bottom w:val="none" w:sz="0" w:space="0" w:color="auto"/>
        <w:right w:val="none" w:sz="0" w:space="0" w:color="auto"/>
      </w:divBdr>
    </w:div>
    <w:div w:id="1902132208">
      <w:bodyDiv w:val="1"/>
      <w:marLeft w:val="0"/>
      <w:marRight w:val="0"/>
      <w:marTop w:val="0"/>
      <w:marBottom w:val="0"/>
      <w:divBdr>
        <w:top w:val="none" w:sz="0" w:space="0" w:color="auto"/>
        <w:left w:val="none" w:sz="0" w:space="0" w:color="auto"/>
        <w:bottom w:val="none" w:sz="0" w:space="0" w:color="auto"/>
        <w:right w:val="none" w:sz="0" w:space="0" w:color="auto"/>
      </w:divBdr>
    </w:div>
    <w:div w:id="2016496272">
      <w:bodyDiv w:val="1"/>
      <w:marLeft w:val="0"/>
      <w:marRight w:val="0"/>
      <w:marTop w:val="0"/>
      <w:marBottom w:val="0"/>
      <w:divBdr>
        <w:top w:val="none" w:sz="0" w:space="0" w:color="auto"/>
        <w:left w:val="none" w:sz="0" w:space="0" w:color="auto"/>
        <w:bottom w:val="none" w:sz="0" w:space="0" w:color="auto"/>
        <w:right w:val="none" w:sz="0" w:space="0" w:color="auto"/>
      </w:divBdr>
    </w:div>
    <w:div w:id="2040356350">
      <w:bodyDiv w:val="1"/>
      <w:marLeft w:val="0"/>
      <w:marRight w:val="0"/>
      <w:marTop w:val="0"/>
      <w:marBottom w:val="0"/>
      <w:divBdr>
        <w:top w:val="none" w:sz="0" w:space="0" w:color="auto"/>
        <w:left w:val="none" w:sz="0" w:space="0" w:color="auto"/>
        <w:bottom w:val="none" w:sz="0" w:space="0" w:color="auto"/>
        <w:right w:val="none" w:sz="0" w:space="0" w:color="auto"/>
      </w:divBdr>
    </w:div>
    <w:div w:id="2071224701">
      <w:bodyDiv w:val="1"/>
      <w:marLeft w:val="0"/>
      <w:marRight w:val="0"/>
      <w:marTop w:val="0"/>
      <w:marBottom w:val="0"/>
      <w:divBdr>
        <w:top w:val="none" w:sz="0" w:space="0" w:color="auto"/>
        <w:left w:val="none" w:sz="0" w:space="0" w:color="auto"/>
        <w:bottom w:val="none" w:sz="0" w:space="0" w:color="auto"/>
        <w:right w:val="none" w:sz="0" w:space="0" w:color="auto"/>
      </w:divBdr>
    </w:div>
    <w:div w:id="2129352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iving-in.eu/groups/commitments/technical"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https://oascities.org/minimal-interoperability-mechanism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living-in.eu/groups/commitments/technical"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ur-lex.europa.eu/eli/reg/2016/679/oj"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oascities.org/minimal-interoperability-mechanism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living-in.eu/groups/commitments/technical"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165c03f7-3d59-47f2-9f2f-ba5f4e119f8b" xsi:nil="true"/>
    <lcf76f155ced4ddcb4097134ff3c332f xmlns="9fa97760-a3f1-4469-8425-5f5fcc363cac">
      <Terms xmlns="http://schemas.microsoft.com/office/infopath/2007/PartnerControls"/>
    </lcf76f155ced4ddcb4097134ff3c332f>
    <SharedWithUsers xmlns="165c03f7-3d59-47f2-9f2f-ba5f4e119f8b">
      <UserInfo>
        <DisplayName/>
        <AccountId xsi:nil="true"/>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4FB6A40E227BD4A8D1C39DD53FDA0C8" ma:contentTypeVersion="14" ma:contentTypeDescription="Create a new document." ma:contentTypeScope="" ma:versionID="f762f794e05dae6131e40c4259cdf6b7">
  <xsd:schema xmlns:xsd="http://www.w3.org/2001/XMLSchema" xmlns:xs="http://www.w3.org/2001/XMLSchema" xmlns:p="http://schemas.microsoft.com/office/2006/metadata/properties" xmlns:ns2="9fa97760-a3f1-4469-8425-5f5fcc363cac" xmlns:ns3="165c03f7-3d59-47f2-9f2f-ba5f4e119f8b" targetNamespace="http://schemas.microsoft.com/office/2006/metadata/properties" ma:root="true" ma:fieldsID="112748cf2da9007747af34c651b17939" ns2:_="" ns3:_="">
    <xsd:import namespace="9fa97760-a3f1-4469-8425-5f5fcc363cac"/>
    <xsd:import namespace="165c03f7-3d59-47f2-9f2f-ba5f4e119f8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DateTaken" minOccurs="0"/>
                <xsd:element ref="ns2:MediaServiceSearchPropertie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a97760-a3f1-4469-8425-5f5fcc363c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3623ea3-be23-4189-a25b-bcadb097ef14"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65c03f7-3d59-47f2-9f2f-ba5f4e119f8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69b6543d-3aae-4c2d-bfc4-d56ac01e4223}" ma:internalName="TaxCatchAll" ma:showField="CatchAllData" ma:web="165c03f7-3d59-47f2-9f2f-ba5f4e119f8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1A34C2-0FAF-4F0C-9510-3F33EE5EDE19}">
  <ds:schemaRefs>
    <ds:schemaRef ds:uri="http://schemas.microsoft.com/sharepoint/v3/contenttype/forms"/>
  </ds:schemaRefs>
</ds:datastoreItem>
</file>

<file path=customXml/itemProps2.xml><?xml version="1.0" encoding="utf-8"?>
<ds:datastoreItem xmlns:ds="http://schemas.openxmlformats.org/officeDocument/2006/customXml" ds:itemID="{BA9AC48D-B375-436A-A66C-34A4950E593D}">
  <ds:schemaRefs>
    <ds:schemaRef ds:uri="http://schemas.microsoft.com/office/2006/documentManagement/types"/>
    <ds:schemaRef ds:uri="http://schemas.openxmlformats.org/package/2006/metadata/core-properties"/>
    <ds:schemaRef ds:uri="http://purl.org/dc/terms/"/>
    <ds:schemaRef ds:uri="9fa97760-a3f1-4469-8425-5f5fcc363cac"/>
    <ds:schemaRef ds:uri="http://schemas.microsoft.com/office/2006/metadata/properties"/>
    <ds:schemaRef ds:uri="http://schemas.microsoft.com/office/infopath/2007/PartnerControls"/>
    <ds:schemaRef ds:uri="http://purl.org/dc/elements/1.1/"/>
    <ds:schemaRef ds:uri="http://purl.org/dc/dcmitype/"/>
    <ds:schemaRef ds:uri="165c03f7-3d59-47f2-9f2f-ba5f4e119f8b"/>
    <ds:schemaRef ds:uri="http://www.w3.org/XML/1998/namespace"/>
  </ds:schemaRefs>
</ds:datastoreItem>
</file>

<file path=customXml/itemProps3.xml><?xml version="1.0" encoding="utf-8"?>
<ds:datastoreItem xmlns:ds="http://schemas.openxmlformats.org/officeDocument/2006/customXml" ds:itemID="{13EAD800-6EC3-49CA-BA1D-731F886A3EA3}">
  <ds:schemaRefs>
    <ds:schemaRef ds:uri="http://schemas.openxmlformats.org/officeDocument/2006/bibliography"/>
  </ds:schemaRefs>
</ds:datastoreItem>
</file>

<file path=customXml/itemProps4.xml><?xml version="1.0" encoding="utf-8"?>
<ds:datastoreItem xmlns:ds="http://schemas.openxmlformats.org/officeDocument/2006/customXml" ds:itemID="{4AC588AD-E612-4884-8513-DD70959C74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a97760-a3f1-4469-8425-5f5fcc363cac"/>
    <ds:schemaRef ds:uri="165c03f7-3d59-47f2-9f2f-ba5f4e119f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5278</TotalTime>
  <Pages>36</Pages>
  <Words>12252</Words>
  <Characters>69838</Characters>
  <Application>Microsoft Office Word</Application>
  <DocSecurity>0</DocSecurity>
  <Lines>581</Lines>
  <Paragraphs>163</Paragraphs>
  <ScaleCrop>false</ScaleCrop>
  <Company>Intellera Consulting S.r.l.</Company>
  <LinksUpToDate>false</LinksUpToDate>
  <CharactersWithSpaces>81927</CharactersWithSpaces>
  <SharedDoc>false</SharedDoc>
  <HLinks>
    <vt:vector size="354" baseType="variant">
      <vt:variant>
        <vt:i4>2424944</vt:i4>
      </vt:variant>
      <vt:variant>
        <vt:i4>339</vt:i4>
      </vt:variant>
      <vt:variant>
        <vt:i4>0</vt:i4>
      </vt:variant>
      <vt:variant>
        <vt:i4>5</vt:i4>
      </vt:variant>
      <vt:variant>
        <vt:lpwstr>https://www.etsi.org/committee/cim/</vt:lpwstr>
      </vt:variant>
      <vt:variant>
        <vt:lpwstr/>
      </vt:variant>
      <vt:variant>
        <vt:i4>6160452</vt:i4>
      </vt:variant>
      <vt:variant>
        <vt:i4>336</vt:i4>
      </vt:variant>
      <vt:variant>
        <vt:i4>0</vt:i4>
      </vt:variant>
      <vt:variant>
        <vt:i4>5</vt:i4>
      </vt:variant>
      <vt:variant>
        <vt:lpwstr>https://living-in.eu/groups/commitments/technical</vt:lpwstr>
      </vt:variant>
      <vt:variant>
        <vt:lpwstr/>
      </vt:variant>
      <vt:variant>
        <vt:i4>6291580</vt:i4>
      </vt:variant>
      <vt:variant>
        <vt:i4>333</vt:i4>
      </vt:variant>
      <vt:variant>
        <vt:i4>0</vt:i4>
      </vt:variant>
      <vt:variant>
        <vt:i4>5</vt:i4>
      </vt:variant>
      <vt:variant>
        <vt:lpwstr>https://oascities.org/minimal-interoperability-mechanisms/</vt:lpwstr>
      </vt:variant>
      <vt:variant>
        <vt:lpwstr/>
      </vt:variant>
      <vt:variant>
        <vt:i4>6160452</vt:i4>
      </vt:variant>
      <vt:variant>
        <vt:i4>330</vt:i4>
      </vt:variant>
      <vt:variant>
        <vt:i4>0</vt:i4>
      </vt:variant>
      <vt:variant>
        <vt:i4>5</vt:i4>
      </vt:variant>
      <vt:variant>
        <vt:lpwstr>https://living-in.eu/groups/commitments/technical</vt:lpwstr>
      </vt:variant>
      <vt:variant>
        <vt:lpwstr/>
      </vt:variant>
      <vt:variant>
        <vt:i4>6291580</vt:i4>
      </vt:variant>
      <vt:variant>
        <vt:i4>327</vt:i4>
      </vt:variant>
      <vt:variant>
        <vt:i4>0</vt:i4>
      </vt:variant>
      <vt:variant>
        <vt:i4>5</vt:i4>
      </vt:variant>
      <vt:variant>
        <vt:lpwstr>https://oascities.org/minimal-interoperability-mechanisms/</vt:lpwstr>
      </vt:variant>
      <vt:variant>
        <vt:lpwstr/>
      </vt:variant>
      <vt:variant>
        <vt:i4>6160452</vt:i4>
      </vt:variant>
      <vt:variant>
        <vt:i4>324</vt:i4>
      </vt:variant>
      <vt:variant>
        <vt:i4>0</vt:i4>
      </vt:variant>
      <vt:variant>
        <vt:i4>5</vt:i4>
      </vt:variant>
      <vt:variant>
        <vt:lpwstr>https://living-in.eu/groups/commitments/technical</vt:lpwstr>
      </vt:variant>
      <vt:variant>
        <vt:lpwstr/>
      </vt:variant>
      <vt:variant>
        <vt:i4>6029394</vt:i4>
      </vt:variant>
      <vt:variant>
        <vt:i4>318</vt:i4>
      </vt:variant>
      <vt:variant>
        <vt:i4>0</vt:i4>
      </vt:variant>
      <vt:variant>
        <vt:i4>5</vt:i4>
      </vt:variant>
      <vt:variant>
        <vt:lpwstr>https://eur-lex.europa.eu/eli/reg/2016/679/oj</vt:lpwstr>
      </vt:variant>
      <vt:variant>
        <vt:lpwstr/>
      </vt:variant>
      <vt:variant>
        <vt:i4>1835062</vt:i4>
      </vt:variant>
      <vt:variant>
        <vt:i4>311</vt:i4>
      </vt:variant>
      <vt:variant>
        <vt:i4>0</vt:i4>
      </vt:variant>
      <vt:variant>
        <vt:i4>5</vt:i4>
      </vt:variant>
      <vt:variant>
        <vt:lpwstr/>
      </vt:variant>
      <vt:variant>
        <vt:lpwstr>_Toc177980859</vt:lpwstr>
      </vt:variant>
      <vt:variant>
        <vt:i4>1835062</vt:i4>
      </vt:variant>
      <vt:variant>
        <vt:i4>305</vt:i4>
      </vt:variant>
      <vt:variant>
        <vt:i4>0</vt:i4>
      </vt:variant>
      <vt:variant>
        <vt:i4>5</vt:i4>
      </vt:variant>
      <vt:variant>
        <vt:lpwstr/>
      </vt:variant>
      <vt:variant>
        <vt:lpwstr>_Toc177980858</vt:lpwstr>
      </vt:variant>
      <vt:variant>
        <vt:i4>1835062</vt:i4>
      </vt:variant>
      <vt:variant>
        <vt:i4>299</vt:i4>
      </vt:variant>
      <vt:variant>
        <vt:i4>0</vt:i4>
      </vt:variant>
      <vt:variant>
        <vt:i4>5</vt:i4>
      </vt:variant>
      <vt:variant>
        <vt:lpwstr/>
      </vt:variant>
      <vt:variant>
        <vt:lpwstr>_Toc177980857</vt:lpwstr>
      </vt:variant>
      <vt:variant>
        <vt:i4>1835062</vt:i4>
      </vt:variant>
      <vt:variant>
        <vt:i4>293</vt:i4>
      </vt:variant>
      <vt:variant>
        <vt:i4>0</vt:i4>
      </vt:variant>
      <vt:variant>
        <vt:i4>5</vt:i4>
      </vt:variant>
      <vt:variant>
        <vt:lpwstr/>
      </vt:variant>
      <vt:variant>
        <vt:lpwstr>_Toc177980856</vt:lpwstr>
      </vt:variant>
      <vt:variant>
        <vt:i4>1835062</vt:i4>
      </vt:variant>
      <vt:variant>
        <vt:i4>287</vt:i4>
      </vt:variant>
      <vt:variant>
        <vt:i4>0</vt:i4>
      </vt:variant>
      <vt:variant>
        <vt:i4>5</vt:i4>
      </vt:variant>
      <vt:variant>
        <vt:lpwstr/>
      </vt:variant>
      <vt:variant>
        <vt:lpwstr>_Toc177980855</vt:lpwstr>
      </vt:variant>
      <vt:variant>
        <vt:i4>1835062</vt:i4>
      </vt:variant>
      <vt:variant>
        <vt:i4>281</vt:i4>
      </vt:variant>
      <vt:variant>
        <vt:i4>0</vt:i4>
      </vt:variant>
      <vt:variant>
        <vt:i4>5</vt:i4>
      </vt:variant>
      <vt:variant>
        <vt:lpwstr/>
      </vt:variant>
      <vt:variant>
        <vt:lpwstr>_Toc177980854</vt:lpwstr>
      </vt:variant>
      <vt:variant>
        <vt:i4>1835062</vt:i4>
      </vt:variant>
      <vt:variant>
        <vt:i4>275</vt:i4>
      </vt:variant>
      <vt:variant>
        <vt:i4>0</vt:i4>
      </vt:variant>
      <vt:variant>
        <vt:i4>5</vt:i4>
      </vt:variant>
      <vt:variant>
        <vt:lpwstr/>
      </vt:variant>
      <vt:variant>
        <vt:lpwstr>_Toc177980853</vt:lpwstr>
      </vt:variant>
      <vt:variant>
        <vt:i4>1835062</vt:i4>
      </vt:variant>
      <vt:variant>
        <vt:i4>269</vt:i4>
      </vt:variant>
      <vt:variant>
        <vt:i4>0</vt:i4>
      </vt:variant>
      <vt:variant>
        <vt:i4>5</vt:i4>
      </vt:variant>
      <vt:variant>
        <vt:lpwstr/>
      </vt:variant>
      <vt:variant>
        <vt:lpwstr>_Toc177980852</vt:lpwstr>
      </vt:variant>
      <vt:variant>
        <vt:i4>1835062</vt:i4>
      </vt:variant>
      <vt:variant>
        <vt:i4>263</vt:i4>
      </vt:variant>
      <vt:variant>
        <vt:i4>0</vt:i4>
      </vt:variant>
      <vt:variant>
        <vt:i4>5</vt:i4>
      </vt:variant>
      <vt:variant>
        <vt:lpwstr/>
      </vt:variant>
      <vt:variant>
        <vt:lpwstr>_Toc177980851</vt:lpwstr>
      </vt:variant>
      <vt:variant>
        <vt:i4>1835062</vt:i4>
      </vt:variant>
      <vt:variant>
        <vt:i4>257</vt:i4>
      </vt:variant>
      <vt:variant>
        <vt:i4>0</vt:i4>
      </vt:variant>
      <vt:variant>
        <vt:i4>5</vt:i4>
      </vt:variant>
      <vt:variant>
        <vt:lpwstr/>
      </vt:variant>
      <vt:variant>
        <vt:lpwstr>_Toc177980850</vt:lpwstr>
      </vt:variant>
      <vt:variant>
        <vt:i4>1900598</vt:i4>
      </vt:variant>
      <vt:variant>
        <vt:i4>251</vt:i4>
      </vt:variant>
      <vt:variant>
        <vt:i4>0</vt:i4>
      </vt:variant>
      <vt:variant>
        <vt:i4>5</vt:i4>
      </vt:variant>
      <vt:variant>
        <vt:lpwstr/>
      </vt:variant>
      <vt:variant>
        <vt:lpwstr>_Toc177980849</vt:lpwstr>
      </vt:variant>
      <vt:variant>
        <vt:i4>1900598</vt:i4>
      </vt:variant>
      <vt:variant>
        <vt:i4>245</vt:i4>
      </vt:variant>
      <vt:variant>
        <vt:i4>0</vt:i4>
      </vt:variant>
      <vt:variant>
        <vt:i4>5</vt:i4>
      </vt:variant>
      <vt:variant>
        <vt:lpwstr/>
      </vt:variant>
      <vt:variant>
        <vt:lpwstr>_Toc177980848</vt:lpwstr>
      </vt:variant>
      <vt:variant>
        <vt:i4>1900598</vt:i4>
      </vt:variant>
      <vt:variant>
        <vt:i4>239</vt:i4>
      </vt:variant>
      <vt:variant>
        <vt:i4>0</vt:i4>
      </vt:variant>
      <vt:variant>
        <vt:i4>5</vt:i4>
      </vt:variant>
      <vt:variant>
        <vt:lpwstr/>
      </vt:variant>
      <vt:variant>
        <vt:lpwstr>_Toc177980847</vt:lpwstr>
      </vt:variant>
      <vt:variant>
        <vt:i4>1900598</vt:i4>
      </vt:variant>
      <vt:variant>
        <vt:i4>233</vt:i4>
      </vt:variant>
      <vt:variant>
        <vt:i4>0</vt:i4>
      </vt:variant>
      <vt:variant>
        <vt:i4>5</vt:i4>
      </vt:variant>
      <vt:variant>
        <vt:lpwstr/>
      </vt:variant>
      <vt:variant>
        <vt:lpwstr>_Toc177980846</vt:lpwstr>
      </vt:variant>
      <vt:variant>
        <vt:i4>1900598</vt:i4>
      </vt:variant>
      <vt:variant>
        <vt:i4>227</vt:i4>
      </vt:variant>
      <vt:variant>
        <vt:i4>0</vt:i4>
      </vt:variant>
      <vt:variant>
        <vt:i4>5</vt:i4>
      </vt:variant>
      <vt:variant>
        <vt:lpwstr/>
      </vt:variant>
      <vt:variant>
        <vt:lpwstr>_Toc177980845</vt:lpwstr>
      </vt:variant>
      <vt:variant>
        <vt:i4>1900598</vt:i4>
      </vt:variant>
      <vt:variant>
        <vt:i4>221</vt:i4>
      </vt:variant>
      <vt:variant>
        <vt:i4>0</vt:i4>
      </vt:variant>
      <vt:variant>
        <vt:i4>5</vt:i4>
      </vt:variant>
      <vt:variant>
        <vt:lpwstr/>
      </vt:variant>
      <vt:variant>
        <vt:lpwstr>_Toc177980844</vt:lpwstr>
      </vt:variant>
      <vt:variant>
        <vt:i4>1900598</vt:i4>
      </vt:variant>
      <vt:variant>
        <vt:i4>215</vt:i4>
      </vt:variant>
      <vt:variant>
        <vt:i4>0</vt:i4>
      </vt:variant>
      <vt:variant>
        <vt:i4>5</vt:i4>
      </vt:variant>
      <vt:variant>
        <vt:lpwstr/>
      </vt:variant>
      <vt:variant>
        <vt:lpwstr>_Toc177980843</vt:lpwstr>
      </vt:variant>
      <vt:variant>
        <vt:i4>1900598</vt:i4>
      </vt:variant>
      <vt:variant>
        <vt:i4>209</vt:i4>
      </vt:variant>
      <vt:variant>
        <vt:i4>0</vt:i4>
      </vt:variant>
      <vt:variant>
        <vt:i4>5</vt:i4>
      </vt:variant>
      <vt:variant>
        <vt:lpwstr/>
      </vt:variant>
      <vt:variant>
        <vt:lpwstr>_Toc177980842</vt:lpwstr>
      </vt:variant>
      <vt:variant>
        <vt:i4>1900598</vt:i4>
      </vt:variant>
      <vt:variant>
        <vt:i4>203</vt:i4>
      </vt:variant>
      <vt:variant>
        <vt:i4>0</vt:i4>
      </vt:variant>
      <vt:variant>
        <vt:i4>5</vt:i4>
      </vt:variant>
      <vt:variant>
        <vt:lpwstr/>
      </vt:variant>
      <vt:variant>
        <vt:lpwstr>_Toc177980841</vt:lpwstr>
      </vt:variant>
      <vt:variant>
        <vt:i4>1900598</vt:i4>
      </vt:variant>
      <vt:variant>
        <vt:i4>197</vt:i4>
      </vt:variant>
      <vt:variant>
        <vt:i4>0</vt:i4>
      </vt:variant>
      <vt:variant>
        <vt:i4>5</vt:i4>
      </vt:variant>
      <vt:variant>
        <vt:lpwstr/>
      </vt:variant>
      <vt:variant>
        <vt:lpwstr>_Toc177980840</vt:lpwstr>
      </vt:variant>
      <vt:variant>
        <vt:i4>1179705</vt:i4>
      </vt:variant>
      <vt:variant>
        <vt:i4>188</vt:i4>
      </vt:variant>
      <vt:variant>
        <vt:i4>0</vt:i4>
      </vt:variant>
      <vt:variant>
        <vt:i4>5</vt:i4>
      </vt:variant>
      <vt:variant>
        <vt:lpwstr/>
      </vt:variant>
      <vt:variant>
        <vt:lpwstr>_Toc188448410</vt:lpwstr>
      </vt:variant>
      <vt:variant>
        <vt:i4>1245241</vt:i4>
      </vt:variant>
      <vt:variant>
        <vt:i4>182</vt:i4>
      </vt:variant>
      <vt:variant>
        <vt:i4>0</vt:i4>
      </vt:variant>
      <vt:variant>
        <vt:i4>5</vt:i4>
      </vt:variant>
      <vt:variant>
        <vt:lpwstr/>
      </vt:variant>
      <vt:variant>
        <vt:lpwstr>_Toc188448409</vt:lpwstr>
      </vt:variant>
      <vt:variant>
        <vt:i4>1245241</vt:i4>
      </vt:variant>
      <vt:variant>
        <vt:i4>176</vt:i4>
      </vt:variant>
      <vt:variant>
        <vt:i4>0</vt:i4>
      </vt:variant>
      <vt:variant>
        <vt:i4>5</vt:i4>
      </vt:variant>
      <vt:variant>
        <vt:lpwstr/>
      </vt:variant>
      <vt:variant>
        <vt:lpwstr>_Toc188448408</vt:lpwstr>
      </vt:variant>
      <vt:variant>
        <vt:i4>1245241</vt:i4>
      </vt:variant>
      <vt:variant>
        <vt:i4>170</vt:i4>
      </vt:variant>
      <vt:variant>
        <vt:i4>0</vt:i4>
      </vt:variant>
      <vt:variant>
        <vt:i4>5</vt:i4>
      </vt:variant>
      <vt:variant>
        <vt:lpwstr/>
      </vt:variant>
      <vt:variant>
        <vt:lpwstr>_Toc188448407</vt:lpwstr>
      </vt:variant>
      <vt:variant>
        <vt:i4>1245241</vt:i4>
      </vt:variant>
      <vt:variant>
        <vt:i4>164</vt:i4>
      </vt:variant>
      <vt:variant>
        <vt:i4>0</vt:i4>
      </vt:variant>
      <vt:variant>
        <vt:i4>5</vt:i4>
      </vt:variant>
      <vt:variant>
        <vt:lpwstr/>
      </vt:variant>
      <vt:variant>
        <vt:lpwstr>_Toc188448406</vt:lpwstr>
      </vt:variant>
      <vt:variant>
        <vt:i4>1245241</vt:i4>
      </vt:variant>
      <vt:variant>
        <vt:i4>158</vt:i4>
      </vt:variant>
      <vt:variant>
        <vt:i4>0</vt:i4>
      </vt:variant>
      <vt:variant>
        <vt:i4>5</vt:i4>
      </vt:variant>
      <vt:variant>
        <vt:lpwstr/>
      </vt:variant>
      <vt:variant>
        <vt:lpwstr>_Toc188448405</vt:lpwstr>
      </vt:variant>
      <vt:variant>
        <vt:i4>1310782</vt:i4>
      </vt:variant>
      <vt:variant>
        <vt:i4>152</vt:i4>
      </vt:variant>
      <vt:variant>
        <vt:i4>0</vt:i4>
      </vt:variant>
      <vt:variant>
        <vt:i4>5</vt:i4>
      </vt:variant>
      <vt:variant>
        <vt:lpwstr/>
      </vt:variant>
      <vt:variant>
        <vt:lpwstr>_Toc188448375</vt:lpwstr>
      </vt:variant>
      <vt:variant>
        <vt:i4>1310782</vt:i4>
      </vt:variant>
      <vt:variant>
        <vt:i4>146</vt:i4>
      </vt:variant>
      <vt:variant>
        <vt:i4>0</vt:i4>
      </vt:variant>
      <vt:variant>
        <vt:i4>5</vt:i4>
      </vt:variant>
      <vt:variant>
        <vt:lpwstr/>
      </vt:variant>
      <vt:variant>
        <vt:lpwstr>_Toc188448374</vt:lpwstr>
      </vt:variant>
      <vt:variant>
        <vt:i4>1310782</vt:i4>
      </vt:variant>
      <vt:variant>
        <vt:i4>140</vt:i4>
      </vt:variant>
      <vt:variant>
        <vt:i4>0</vt:i4>
      </vt:variant>
      <vt:variant>
        <vt:i4>5</vt:i4>
      </vt:variant>
      <vt:variant>
        <vt:lpwstr/>
      </vt:variant>
      <vt:variant>
        <vt:lpwstr>_Toc188448373</vt:lpwstr>
      </vt:variant>
      <vt:variant>
        <vt:i4>1310782</vt:i4>
      </vt:variant>
      <vt:variant>
        <vt:i4>134</vt:i4>
      </vt:variant>
      <vt:variant>
        <vt:i4>0</vt:i4>
      </vt:variant>
      <vt:variant>
        <vt:i4>5</vt:i4>
      </vt:variant>
      <vt:variant>
        <vt:lpwstr/>
      </vt:variant>
      <vt:variant>
        <vt:lpwstr>_Toc188448372</vt:lpwstr>
      </vt:variant>
      <vt:variant>
        <vt:i4>1310782</vt:i4>
      </vt:variant>
      <vt:variant>
        <vt:i4>128</vt:i4>
      </vt:variant>
      <vt:variant>
        <vt:i4>0</vt:i4>
      </vt:variant>
      <vt:variant>
        <vt:i4>5</vt:i4>
      </vt:variant>
      <vt:variant>
        <vt:lpwstr/>
      </vt:variant>
      <vt:variant>
        <vt:lpwstr>_Toc188448371</vt:lpwstr>
      </vt:variant>
      <vt:variant>
        <vt:i4>1310782</vt:i4>
      </vt:variant>
      <vt:variant>
        <vt:i4>122</vt:i4>
      </vt:variant>
      <vt:variant>
        <vt:i4>0</vt:i4>
      </vt:variant>
      <vt:variant>
        <vt:i4>5</vt:i4>
      </vt:variant>
      <vt:variant>
        <vt:lpwstr/>
      </vt:variant>
      <vt:variant>
        <vt:lpwstr>_Toc188448370</vt:lpwstr>
      </vt:variant>
      <vt:variant>
        <vt:i4>1376318</vt:i4>
      </vt:variant>
      <vt:variant>
        <vt:i4>116</vt:i4>
      </vt:variant>
      <vt:variant>
        <vt:i4>0</vt:i4>
      </vt:variant>
      <vt:variant>
        <vt:i4>5</vt:i4>
      </vt:variant>
      <vt:variant>
        <vt:lpwstr/>
      </vt:variant>
      <vt:variant>
        <vt:lpwstr>_Toc188448369</vt:lpwstr>
      </vt:variant>
      <vt:variant>
        <vt:i4>1376318</vt:i4>
      </vt:variant>
      <vt:variant>
        <vt:i4>110</vt:i4>
      </vt:variant>
      <vt:variant>
        <vt:i4>0</vt:i4>
      </vt:variant>
      <vt:variant>
        <vt:i4>5</vt:i4>
      </vt:variant>
      <vt:variant>
        <vt:lpwstr/>
      </vt:variant>
      <vt:variant>
        <vt:lpwstr>_Toc188448368</vt:lpwstr>
      </vt:variant>
      <vt:variant>
        <vt:i4>1376318</vt:i4>
      </vt:variant>
      <vt:variant>
        <vt:i4>104</vt:i4>
      </vt:variant>
      <vt:variant>
        <vt:i4>0</vt:i4>
      </vt:variant>
      <vt:variant>
        <vt:i4>5</vt:i4>
      </vt:variant>
      <vt:variant>
        <vt:lpwstr/>
      </vt:variant>
      <vt:variant>
        <vt:lpwstr>_Toc188448367</vt:lpwstr>
      </vt:variant>
      <vt:variant>
        <vt:i4>1376318</vt:i4>
      </vt:variant>
      <vt:variant>
        <vt:i4>98</vt:i4>
      </vt:variant>
      <vt:variant>
        <vt:i4>0</vt:i4>
      </vt:variant>
      <vt:variant>
        <vt:i4>5</vt:i4>
      </vt:variant>
      <vt:variant>
        <vt:lpwstr/>
      </vt:variant>
      <vt:variant>
        <vt:lpwstr>_Toc188448366</vt:lpwstr>
      </vt:variant>
      <vt:variant>
        <vt:i4>1376318</vt:i4>
      </vt:variant>
      <vt:variant>
        <vt:i4>92</vt:i4>
      </vt:variant>
      <vt:variant>
        <vt:i4>0</vt:i4>
      </vt:variant>
      <vt:variant>
        <vt:i4>5</vt:i4>
      </vt:variant>
      <vt:variant>
        <vt:lpwstr/>
      </vt:variant>
      <vt:variant>
        <vt:lpwstr>_Toc188448365</vt:lpwstr>
      </vt:variant>
      <vt:variant>
        <vt:i4>1376318</vt:i4>
      </vt:variant>
      <vt:variant>
        <vt:i4>86</vt:i4>
      </vt:variant>
      <vt:variant>
        <vt:i4>0</vt:i4>
      </vt:variant>
      <vt:variant>
        <vt:i4>5</vt:i4>
      </vt:variant>
      <vt:variant>
        <vt:lpwstr/>
      </vt:variant>
      <vt:variant>
        <vt:lpwstr>_Toc188448364</vt:lpwstr>
      </vt:variant>
      <vt:variant>
        <vt:i4>1376318</vt:i4>
      </vt:variant>
      <vt:variant>
        <vt:i4>80</vt:i4>
      </vt:variant>
      <vt:variant>
        <vt:i4>0</vt:i4>
      </vt:variant>
      <vt:variant>
        <vt:i4>5</vt:i4>
      </vt:variant>
      <vt:variant>
        <vt:lpwstr/>
      </vt:variant>
      <vt:variant>
        <vt:lpwstr>_Toc188448363</vt:lpwstr>
      </vt:variant>
      <vt:variant>
        <vt:i4>1376318</vt:i4>
      </vt:variant>
      <vt:variant>
        <vt:i4>74</vt:i4>
      </vt:variant>
      <vt:variant>
        <vt:i4>0</vt:i4>
      </vt:variant>
      <vt:variant>
        <vt:i4>5</vt:i4>
      </vt:variant>
      <vt:variant>
        <vt:lpwstr/>
      </vt:variant>
      <vt:variant>
        <vt:lpwstr>_Toc188448362</vt:lpwstr>
      </vt:variant>
      <vt:variant>
        <vt:i4>1376318</vt:i4>
      </vt:variant>
      <vt:variant>
        <vt:i4>68</vt:i4>
      </vt:variant>
      <vt:variant>
        <vt:i4>0</vt:i4>
      </vt:variant>
      <vt:variant>
        <vt:i4>5</vt:i4>
      </vt:variant>
      <vt:variant>
        <vt:lpwstr/>
      </vt:variant>
      <vt:variant>
        <vt:lpwstr>_Toc188448361</vt:lpwstr>
      </vt:variant>
      <vt:variant>
        <vt:i4>1376318</vt:i4>
      </vt:variant>
      <vt:variant>
        <vt:i4>62</vt:i4>
      </vt:variant>
      <vt:variant>
        <vt:i4>0</vt:i4>
      </vt:variant>
      <vt:variant>
        <vt:i4>5</vt:i4>
      </vt:variant>
      <vt:variant>
        <vt:lpwstr/>
      </vt:variant>
      <vt:variant>
        <vt:lpwstr>_Toc188448360</vt:lpwstr>
      </vt:variant>
      <vt:variant>
        <vt:i4>1441854</vt:i4>
      </vt:variant>
      <vt:variant>
        <vt:i4>56</vt:i4>
      </vt:variant>
      <vt:variant>
        <vt:i4>0</vt:i4>
      </vt:variant>
      <vt:variant>
        <vt:i4>5</vt:i4>
      </vt:variant>
      <vt:variant>
        <vt:lpwstr/>
      </vt:variant>
      <vt:variant>
        <vt:lpwstr>_Toc188448359</vt:lpwstr>
      </vt:variant>
      <vt:variant>
        <vt:i4>1441854</vt:i4>
      </vt:variant>
      <vt:variant>
        <vt:i4>50</vt:i4>
      </vt:variant>
      <vt:variant>
        <vt:i4>0</vt:i4>
      </vt:variant>
      <vt:variant>
        <vt:i4>5</vt:i4>
      </vt:variant>
      <vt:variant>
        <vt:lpwstr/>
      </vt:variant>
      <vt:variant>
        <vt:lpwstr>_Toc188448358</vt:lpwstr>
      </vt:variant>
      <vt:variant>
        <vt:i4>1441854</vt:i4>
      </vt:variant>
      <vt:variant>
        <vt:i4>44</vt:i4>
      </vt:variant>
      <vt:variant>
        <vt:i4>0</vt:i4>
      </vt:variant>
      <vt:variant>
        <vt:i4>5</vt:i4>
      </vt:variant>
      <vt:variant>
        <vt:lpwstr/>
      </vt:variant>
      <vt:variant>
        <vt:lpwstr>_Toc188448357</vt:lpwstr>
      </vt:variant>
      <vt:variant>
        <vt:i4>1441854</vt:i4>
      </vt:variant>
      <vt:variant>
        <vt:i4>38</vt:i4>
      </vt:variant>
      <vt:variant>
        <vt:i4>0</vt:i4>
      </vt:variant>
      <vt:variant>
        <vt:i4>5</vt:i4>
      </vt:variant>
      <vt:variant>
        <vt:lpwstr/>
      </vt:variant>
      <vt:variant>
        <vt:lpwstr>_Toc188448356</vt:lpwstr>
      </vt:variant>
      <vt:variant>
        <vt:i4>1441854</vt:i4>
      </vt:variant>
      <vt:variant>
        <vt:i4>32</vt:i4>
      </vt:variant>
      <vt:variant>
        <vt:i4>0</vt:i4>
      </vt:variant>
      <vt:variant>
        <vt:i4>5</vt:i4>
      </vt:variant>
      <vt:variant>
        <vt:lpwstr/>
      </vt:variant>
      <vt:variant>
        <vt:lpwstr>_Toc188448355</vt:lpwstr>
      </vt:variant>
      <vt:variant>
        <vt:i4>1441854</vt:i4>
      </vt:variant>
      <vt:variant>
        <vt:i4>26</vt:i4>
      </vt:variant>
      <vt:variant>
        <vt:i4>0</vt:i4>
      </vt:variant>
      <vt:variant>
        <vt:i4>5</vt:i4>
      </vt:variant>
      <vt:variant>
        <vt:lpwstr/>
      </vt:variant>
      <vt:variant>
        <vt:lpwstr>_Toc188448354</vt:lpwstr>
      </vt:variant>
      <vt:variant>
        <vt:i4>1441854</vt:i4>
      </vt:variant>
      <vt:variant>
        <vt:i4>20</vt:i4>
      </vt:variant>
      <vt:variant>
        <vt:i4>0</vt:i4>
      </vt:variant>
      <vt:variant>
        <vt:i4>5</vt:i4>
      </vt:variant>
      <vt:variant>
        <vt:lpwstr/>
      </vt:variant>
      <vt:variant>
        <vt:lpwstr>_Toc188448353</vt:lpwstr>
      </vt:variant>
      <vt:variant>
        <vt:i4>1441854</vt:i4>
      </vt:variant>
      <vt:variant>
        <vt:i4>14</vt:i4>
      </vt:variant>
      <vt:variant>
        <vt:i4>0</vt:i4>
      </vt:variant>
      <vt:variant>
        <vt:i4>5</vt:i4>
      </vt:variant>
      <vt:variant>
        <vt:lpwstr/>
      </vt:variant>
      <vt:variant>
        <vt:lpwstr>_Toc188448352</vt:lpwstr>
      </vt:variant>
      <vt:variant>
        <vt:i4>1441854</vt:i4>
      </vt:variant>
      <vt:variant>
        <vt:i4>8</vt:i4>
      </vt:variant>
      <vt:variant>
        <vt:i4>0</vt:i4>
      </vt:variant>
      <vt:variant>
        <vt:i4>5</vt:i4>
      </vt:variant>
      <vt:variant>
        <vt:lpwstr/>
      </vt:variant>
      <vt:variant>
        <vt:lpwstr>_Toc188448351</vt:lpwstr>
      </vt:variant>
      <vt:variant>
        <vt:i4>1441854</vt:i4>
      </vt:variant>
      <vt:variant>
        <vt:i4>2</vt:i4>
      </vt:variant>
      <vt:variant>
        <vt:i4>0</vt:i4>
      </vt:variant>
      <vt:variant>
        <vt:i4>5</vt:i4>
      </vt:variant>
      <vt:variant>
        <vt:lpwstr/>
      </vt:variant>
      <vt:variant>
        <vt:lpwstr>_Toc188448350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Stefano Tisei</dc:creator>
  <cp:keywords/>
  <dc:description/>
  <cp:lastModifiedBy>Nima Koohestani</cp:lastModifiedBy>
  <cp:revision>436</cp:revision>
  <dcterms:created xsi:type="dcterms:W3CDTF">2024-06-18T15:22:00Z</dcterms:created>
  <dcterms:modified xsi:type="dcterms:W3CDTF">2025-02-28T09:06:00Z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ffisync_ProviderInitializationData">
    <vt:lpwstr>https://webgate.ec.europa.eu/connected</vt:lpwstr>
  </property>
  <property fmtid="{D5CDD505-2E9C-101B-9397-08002B2CF9AE}" pid="3" name="Jive_LatestUserAccountName">
    <vt:lpwstr>ciarrma</vt:lpwstr>
  </property>
  <property fmtid="{D5CDD505-2E9C-101B-9397-08002B2CF9AE}" pid="4" name="Jive_VersionGuid">
    <vt:lpwstr>96512ab1-436c-44fb-9137-77f7ae0f67b9</vt:lpwstr>
  </property>
  <property fmtid="{D5CDD505-2E9C-101B-9397-08002B2CF9AE}" pid="5" name="Offisync_UniqueId">
    <vt:lpwstr>259678</vt:lpwstr>
  </property>
  <property fmtid="{D5CDD505-2E9C-101B-9397-08002B2CF9AE}" pid="6" name="Offisync_ServerID">
    <vt:lpwstr>0d3b22a6-6203-4efc-8e8e-b5279256493b</vt:lpwstr>
  </property>
  <property fmtid="{D5CDD505-2E9C-101B-9397-08002B2CF9AE}" pid="7" name="Offisync_UpdateToken">
    <vt:lpwstr>1</vt:lpwstr>
  </property>
  <property fmtid="{D5CDD505-2E9C-101B-9397-08002B2CF9AE}" pid="8" name="MSIP_Label_6bd9ddd1-4d20-43f6-abfa-fc3c07406f94_Enabled">
    <vt:lpwstr>true</vt:lpwstr>
  </property>
  <property fmtid="{D5CDD505-2E9C-101B-9397-08002B2CF9AE}" pid="9" name="MSIP_Label_6bd9ddd1-4d20-43f6-abfa-fc3c07406f94_SetDate">
    <vt:lpwstr>2023-03-13T08:55:32Z</vt:lpwstr>
  </property>
  <property fmtid="{D5CDD505-2E9C-101B-9397-08002B2CF9AE}" pid="10" name="MSIP_Label_6bd9ddd1-4d20-43f6-abfa-fc3c07406f94_Method">
    <vt:lpwstr>Standard</vt:lpwstr>
  </property>
  <property fmtid="{D5CDD505-2E9C-101B-9397-08002B2CF9AE}" pid="11" name="MSIP_Label_6bd9ddd1-4d20-43f6-abfa-fc3c07406f94_Name">
    <vt:lpwstr>Commission Use</vt:lpwstr>
  </property>
  <property fmtid="{D5CDD505-2E9C-101B-9397-08002B2CF9AE}" pid="12" name="MSIP_Label_6bd9ddd1-4d20-43f6-abfa-fc3c07406f94_SiteId">
    <vt:lpwstr>b24c8b06-522c-46fe-9080-70926f8dddb1</vt:lpwstr>
  </property>
  <property fmtid="{D5CDD505-2E9C-101B-9397-08002B2CF9AE}" pid="13" name="MSIP_Label_6bd9ddd1-4d20-43f6-abfa-fc3c07406f94_ActionId">
    <vt:lpwstr>975394b1-d40d-4a2a-99c5-f7e6860c3372</vt:lpwstr>
  </property>
  <property fmtid="{D5CDD505-2E9C-101B-9397-08002B2CF9AE}" pid="14" name="MSIP_Label_6bd9ddd1-4d20-43f6-abfa-fc3c07406f94_ContentBits">
    <vt:lpwstr>0</vt:lpwstr>
  </property>
  <property fmtid="{D5CDD505-2E9C-101B-9397-08002B2CF9AE}" pid="15" name="ContentTypeId">
    <vt:lpwstr>0x01010054FB6A40E227BD4A8D1C39DD53FDA0C8</vt:lpwstr>
  </property>
  <property fmtid="{D5CDD505-2E9C-101B-9397-08002B2CF9AE}" pid="16" name="JiveCategories">
    <vt:lpwstr/>
  </property>
  <property fmtid="{D5CDD505-2E9C-101B-9397-08002B2CF9AE}" pid="17" name="JiveTags">
    <vt:lpwstr/>
  </property>
  <property fmtid="{D5CDD505-2E9C-101B-9397-08002B2CF9AE}" pid="18" name="Metadata">
    <vt:lpwstr>156;#Procurement|5e842189-6beb-4b5f-baf9-b0683bad6a9c</vt:lpwstr>
  </property>
  <property fmtid="{D5CDD505-2E9C-101B-9397-08002B2CF9AE}" pid="19" name="MediaServiceImageTags">
    <vt:lpwstr/>
  </property>
  <property fmtid="{D5CDD505-2E9C-101B-9397-08002B2CF9AE}" pid="20" name="Order">
    <vt:r8>33300</vt:r8>
  </property>
  <property fmtid="{D5CDD505-2E9C-101B-9397-08002B2CF9AE}" pid="21" name="xd_ProgID">
    <vt:lpwstr/>
  </property>
  <property fmtid="{D5CDD505-2E9C-101B-9397-08002B2CF9AE}" pid="22" name="ComplianceAssetId">
    <vt:lpwstr/>
  </property>
  <property fmtid="{D5CDD505-2E9C-101B-9397-08002B2CF9AE}" pid="23" name="TemplateUrl">
    <vt:lpwstr/>
  </property>
  <property fmtid="{D5CDD505-2E9C-101B-9397-08002B2CF9AE}" pid="24" name="_ExtendedDescription">
    <vt:lpwstr/>
  </property>
  <property fmtid="{D5CDD505-2E9C-101B-9397-08002B2CF9AE}" pid="25" name="TriggerFlowInfo">
    <vt:lpwstr/>
  </property>
  <property fmtid="{D5CDD505-2E9C-101B-9397-08002B2CF9AE}" pid="26" name="xd_Signature">
    <vt:bool>false</vt:bool>
  </property>
</Properties>
</file>