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People for the Twin Transition - Networking Reception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Following the Living-in.EU Digital Assembly, Living-in.EU is excited to host a special networking event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Connecting People for the Twin Transition.</w:t>
      </w:r>
      <w:r>
        <w:rPr>
          <w:rFonts w:ascii="Arial" w:hAnsi="Arial" w:eastAsia="Arial" w:cs="Arial"/>
          <w:color w:val="000"/>
          <w:sz w:val="18"/>
          <w:szCs w:val="18"/>
        </w:rPr>
        <w:t xml:space="preserve">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event will take place on Wednesday, 9 October, from 17:00 to 19:00 at Scotland House, Rond-point Schuman, 6; 1000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networking reception is open to participants of the Living-in.EU Digital Assembly as well as our wider community of stakeholders and representatives from European institutions. It will serve as a unique opportunity to discuss the intersection of digital and green transitions, and how these can be leveraged at European, regional, and local levels to foster sustainable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reception is designed to:</w:t>
      </w:r>
    </w:p>
    <w:p>
      <w:pPr>
        <w:numPr>
          <w:ilvl w:val="0"/>
          <w:numId w:val="1"/>
        </w:numPr>
      </w:pPr>
      <w:r>
        <w:rPr/>
        <w:t xml:space="preserve">Link the Digital &amp; Green Transitions.</w:t>
      </w:r>
    </w:p>
    <w:p>
      <w:pPr>
        <w:numPr>
          <w:ilvl w:val="0"/>
          <w:numId w:val="1"/>
        </w:numPr>
      </w:pPr>
      <w:r>
        <w:rPr/>
        <w:t xml:space="preserve">Facilitate discussions with diverse stakeholders on the opportunities and challenges of these twin transitions.</w:t>
      </w:r>
    </w:p>
    <w:p>
      <w:pPr>
        <w:numPr>
          <w:ilvl w:val="0"/>
          <w:numId w:val="1"/>
        </w:numPr>
      </w:pPr>
      <w:r>
        <w:rPr/>
        <w:t xml:space="preserve">Showcase inspiring, practical stories of successful initiatives that integrate digital and environmental sustainability.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offers a platform to explore how digitalization can complement efforts toward a greener future and build connections that support impactful collaborations.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spacing w:line="288" w:lineRule="auto"/>
      </w:pPr>
    </w:p>
    <w:p>
      <w:pPr>
        <w:pStyle w:val="Heading2"/>
      </w:pPr>
      <w:r>
        <w:rPr/>
        <w:t xml:space="preserve">Registration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registration for the networking reception is separate from the Living-in.EU Digital Assembly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join us for this insightful and dynamic event, </w:t>
      </w:r>
      <w:hyperlink r:id="rId7" w:history="1">
        <w:r>
          <w:rPr/>
          <w:t xml:space="preserve">register by filling out the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connecting with you and working together to advance Europe’s Twin Transition!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8628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zq1MCjtH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2026-08-07T17:12:57+02:00</dcterms:created>
  <dcterms:modified xsi:type="dcterms:W3CDTF">2026-08-07T17:12:57+02:00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