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Denmark</w:t>
      </w:r>
    </w:p>
    <w:p>
      <w:pPr/>
    </w:p>
    <w:p>
      <w:pPr>
        <w:spacing w:line="288" w:lineRule="auto"/>
      </w:pPr>
      <w:r>
        <w:rPr>
          <w:rFonts w:ascii="Arial" w:hAnsi="Arial" w:eastAsia="Arial" w:cs="Arial"/>
          <w:color w:val="000"/>
          <w:sz w:val="18"/>
          <w:szCs w:val="18"/>
        </w:rPr>
        <w:t xml:space="preserve">KL - Local Government Denmark (KL) supports the 98 Danish municipalities by promoting and facilitating their digital transformation and smart city initiatives. It provides consultancy services, shares knowledge and best practices, clarifies legal issues including EU legislation and represents municipalities' interests at the EU level. KL also develops practical tools and guidelines, arranges events for municipal employees and politicians and offers platforms for dialogue to support the development of local communities through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Søren  Madsen, Senior Consultant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2026-10-06T07:03:45+02:00</dcterms:created>
  <dcterms:modified xsi:type="dcterms:W3CDTF">2026-10-06T07:03:45+02:00</dcterms:modified>
</cp:coreProperties>
</file>

<file path=docProps/custom.xml><?xml version="1.0" encoding="utf-8"?>
<Properties xmlns="http://schemas.openxmlformats.org/officeDocument/2006/custom-properties" xmlns:vt="http://schemas.openxmlformats.org/officeDocument/2006/docPropsVTypes"/>
</file>