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Agence du Numérique (ADN)</w:t>
      </w:r>
    </w:p>
    <w:p>
      <w:pPr/>
    </w:p>
    <w:p>
      <w:pPr>
        <w:spacing w:line="288" w:lineRule="auto"/>
      </w:pPr>
      <w:r>
        <w:rPr>
          <w:rFonts w:ascii="Arial" w:hAnsi="Arial" w:eastAsia="Arial" w:cs="Arial"/>
          <w:color w:val="000"/>
          <w:sz w:val="18"/>
          <w:szCs w:val="18"/>
        </w:rPr>
        <w:t xml:space="preserve">The Agence du Numérique (AdN) plays a crucial role in advancing digitalization for Walloon cities and municipalities. It collaborates closely with the Walloon Government, public services and various stakeholders within the digital ecosystem to define, coordinate, and monitor the regional digital strategy, Digital Wallonia. It actively contributes to the implementation and coordination of programs and projects aimed at digital transformation across the region.</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2026-08-08T06:37:18+02:00</dcterms:created>
  <dcterms:modified xsi:type="dcterms:W3CDTF">2026-08-08T06:37:18+02:00</dcterms:modified>
</cp:coreProperties>
</file>

<file path=docProps/custom.xml><?xml version="1.0" encoding="utf-8"?>
<Properties xmlns="http://schemas.openxmlformats.org/officeDocument/2006/custom-properties" xmlns:vt="http://schemas.openxmlformats.org/officeDocument/2006/docPropsVTypes"/>
</file>