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City leaders</w:t>
      </w:r>
    </w:p>
    <w:p>
      <w:pPr/>
    </w:p>
    <w:p>
      <w:pPr>
        <w:spacing w:line="288" w:lineRule="auto"/>
      </w:pPr>
      <w:r>
        <w:rPr>
          <w:rFonts w:ascii="Arial" w:hAnsi="Arial" w:eastAsia="Arial" w:cs="Arial"/>
          <w:color w:val="000"/>
          <w:sz w:val="18"/>
          <w:szCs w:val="18"/>
        </w:rPr>
        <w:t xml:space="preserve">As a city leader, your responsibility extends beyond managing day-to-day operations; you are at the forefront of ensuring the well-being and development of your community. In an era where technology is rapidly evolving, leveraging digital tools can significantly enhance your ability to address urban challenges effectively. From data spaces to local digital twins, these advanced solutions are helping cities and communities across the European Union navigate their daily challenges both practically and politically.</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2026-08-06T08:27:01+02:00</dcterms:created>
  <dcterms:modified xsi:type="dcterms:W3CDTF">2026-08-06T08:27:01+02:00</dcterms:modified>
</cp:coreProperties>
</file>

<file path=docProps/custom.xml><?xml version="1.0" encoding="utf-8"?>
<Properties xmlns="http://schemas.openxmlformats.org/officeDocument/2006/custom-properties" xmlns:vt="http://schemas.openxmlformats.org/officeDocument/2006/docPropsVTypes"/>
</file>