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Dutch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training materials have been designed to assist Dutch municipalities in their journey towards digital transformation. Developed as part of the '</w:t>
      </w:r>
      <w:hyperlink r:id="rId7" w:history="1">
        <w:r>
          <w:rPr/>
          <w:t xml:space="preserve">Support services for EU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', these sessions provide a platform for networking, learning about digital solutions and funding perspectives, and understanding EU digital policies.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Led by Wouter Heijnen, the national contact point for the project on behalf of the VNG, the </w:t>
      </w:r>
      <w:hyperlink r:id="rId8" w:history="1">
        <w:r>
          <w:rPr/>
          <w:t xml:space="preserve">Dutch training sessions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offer exclusive insights for municipalities to explore tools, funding opportunities, and EU policies.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789" TargetMode="External"/><Relationship Id="rId8" Type="http://schemas.openxmlformats.org/officeDocument/2006/relationships/hyperlink" Target="https://living-in.eu/events/local-digital-twins-increasing-digitalisation-awareness-and-readiness-dut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2026-10-05T08:59:08+02:00</dcterms:created>
  <dcterms:modified xsi:type="dcterms:W3CDTF">2026-10-05T08:59:08+02:00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