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Dutch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training materials have been designed to assist Dutch municipalities in their journey towards digital transformation. Developed as part of the '</w:t>
      </w:r>
      <w:hyperlink r:id="rId7" w:history="1">
        <w:r>
          <w:rPr/>
          <w:t xml:space="preserve">Support services for EU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', these sessions provide a platform for networking, learning about digital solutions and funding perspectives, and understanding EU digital policies.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Led by Wouter Heijnen, the national contact point for the project on behalf of the VNG, the </w:t>
      </w:r>
      <w:hyperlink r:id="rId8" w:history="1">
        <w:r>
          <w:rPr/>
          <w:t xml:space="preserve">Dutch training sessions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offer exclusive insights for municipalities to explore tools, funding opportunities, and EU policies.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node/789" TargetMode="External"/><Relationship Id="rId8" Type="http://schemas.openxmlformats.org/officeDocument/2006/relationships/hyperlink" Target="https://living-in.eu/events/local-digital-twins-increasing-digitalisation-awareness-and-readiness-dutch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2026-06-06T00:13:02+02:00</dcterms:created>
  <dcterms:modified xsi:type="dcterms:W3CDTF">2026-06-06T00:13:02+02:00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