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Support services for EU smart communities</w:t>
      </w:r>
    </w:p>
    <w:p>
      <w:pPr/>
    </w:p>
    <w:p>
      <w:pPr>
        <w:spacing w:line="288" w:lineRule="auto"/>
      </w:pPr>
      <w:r>
        <w:rPr>
          <w:rFonts w:ascii="Arial" w:hAnsi="Arial" w:eastAsia="Arial" w:cs="Arial"/>
          <w:color w:val="000"/>
          <w:sz w:val="18"/>
          <w:szCs w:val="18"/>
        </w:rPr>
        <w:t xml:space="preserve">In today's digital age, European urban and rural communities are progressing in their digital transformations, but not all are moving at the same pace. Some communities have already embraced advanced digital technologies, like Local Digital Twins, AI, and high-performance computing, while others are just starting to invest in their digital journey.</w:t>
      </w:r>
    </w:p>
    <w:p>
      <w:pPr>
        <w:spacing w:line="288" w:lineRule="auto"/>
      </w:pPr>
      <w:r>
        <w:rPr>
          <w:rFonts w:ascii="Arial" w:hAnsi="Arial" w:eastAsia="Arial" w:cs="Arial"/>
          <w:color w:val="000"/>
          <w:sz w:val="18"/>
          <w:szCs w:val="18"/>
        </w:rPr>
        <w:t xml:space="preserve">Through the Digital Europe Programme, the European Commission has launched a collaborative effort to accelerate digital transformation in EU communities. These services aim to foster the adoption of local digital twins and other digital solutions across rural and urban areas, ensuring that technology is accessible to all.</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2026-06-05T22:21:13+02:00</dcterms:created>
  <dcterms:modified xsi:type="dcterms:W3CDTF">2026-06-05T22:21:13+02:00</dcterms:modified>
</cp:coreProperties>
</file>

<file path=docProps/custom.xml><?xml version="1.0" encoding="utf-8"?>
<Properties xmlns="http://schemas.openxmlformats.org/officeDocument/2006/custom-properties" xmlns:vt="http://schemas.openxmlformats.org/officeDocument/2006/docPropsVTypes"/>
</file>