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Digitale Städte – Digitale Regionen</w:t>
      </w:r>
    </w:p>
    <w:p>
      <w:pPr/>
    </w:p>
    <w:p>
      <w:pPr>
        <w:spacing w:line="288" w:lineRule="auto"/>
      </w:pPr>
      <w:r>
        <w:rPr>
          <w:rFonts w:ascii="Arial" w:hAnsi="Arial" w:eastAsia="Arial" w:cs="Arial"/>
          <w:color w:val="000"/>
          <w:sz w:val="18"/>
          <w:szCs w:val="18"/>
        </w:rPr>
        <w:t xml:space="preserve">The virtual congress is the leading event of the state of Hesse for digitization in municipalities and regions. It aims to provide representatives from politics and administration, business, science and society with tailored information and networking in the topics "Smart Cities" and "Smart Regions". In a hybrid format, participants will be offered a comprehensive spectrum of approaches, solutions and examples of successful digitization in lectures, talks, workshops and an accompanying exhibition.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2026-06-06T02:24:20+02:00</dcterms:created>
  <dcterms:modified xsi:type="dcterms:W3CDTF">2026-06-06T02:24:20+02:00</dcterms:modified>
</cp:coreProperties>
</file>

<file path=docProps/custom.xml><?xml version="1.0" encoding="utf-8"?>
<Properties xmlns="http://schemas.openxmlformats.org/officeDocument/2006/custom-properties" xmlns:vt="http://schemas.openxmlformats.org/officeDocument/2006/docPropsVTypes"/>
</file>