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Bridging the Digital Divide by 2030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March 20th, Living-in.EU is proud to partner with Bordeaux Métropole for a special morning session at the Press Club, in Brussels: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“Bridging the Digital Divide by 2030”, an advocacy session to tackle this crucial issue at European level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Preliminary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8:30 Welcome coffee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9:00 Introduction "Strategic vision on the digital divide in light of the Digital Decade Policy Programme 2030"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9:30 How cities are already working together through organizations, with The Cities Coalition for Digital Rights, The Committee of the Regions, Eurocities network and the Living-in.EU movement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9:40 How could we expand these actions?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10:00 Panel discussion - Open dialogue with political representatives from cities and members of the European Parliament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 Formal signing of new members to the Living-in.EU movement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to discuss decisive digital issues and network with new members of our movement at the heart of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RSVP before March 1st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Sophie Woodville </w:t>
      </w:r>
      <w:hyperlink r:id="rId7" w:history="1">
        <w:r>
          <w:rPr/>
          <w:t xml:space="preserve">s.woodville@bordeaux-metropole.fr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Gabriela Ruseva </w:t>
      </w:r>
      <w:hyperlink r:id="rId8" w:history="1">
        <w:r>
          <w:rPr/>
          <w:t xml:space="preserve">gabriela.ruseva@eurocities.eu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s.woodville@bordeaux-metropole.fr" TargetMode="External"/><Relationship Id="rId8" Type="http://schemas.openxmlformats.org/officeDocument/2006/relationships/hyperlink" Target="mailto:gabriela.ruseva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2026-10-05T17:11:14+02:00</dcterms:created>
  <dcterms:modified xsi:type="dcterms:W3CDTF">2026-10-05T17:11:14+02:00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