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Take part in the Living-in.EU Technical Standardisation Stakeholder Mapping Survey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Take part in the Living-in.EU Technical Standardisation Stakeholder Mapping Survey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About the survey: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was developed in the context of the Living-in.EU Movement by OASC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analyse the key players in the landscape and their role in the standardisation of technical specifications across Europe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If you are already involved in standardisation work, the survey should take you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5 minutes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If you are not yet involved in this field it may take a little longer but we would really appreciate your input. Please provide your input by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16th of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Should you have any questions about the survey, please contact Sophie Meszaros at </w:t>
      </w:r>
      <w:hyperlink r:id="rId7" w:history="1">
        <w:r>
          <w:rPr/>
          <w:t xml:space="preserve">sophie(at)oascities.org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the survey: </w:t>
      </w:r>
      <w:hyperlink r:id="rId8" w:history="1">
        <w:r>
          <w:rPr/>
          <w:t xml:space="preserve">Living-in.EU Technical Standardisation Stakeholder Mapping Survey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ascities.org/take-part-in-the-living-in-eu-technical-standardisation-stakeholder-mapping-survey/sophie@oascities.org" TargetMode="External"/><Relationship Id="rId8" Type="http://schemas.openxmlformats.org/officeDocument/2006/relationships/hyperlink" Target="https://docs.google.com/forms/d/e/1FAIpQLSfq1W_0pvEec2lMyr7HtNeGfNAsna1v_E9gbPgbTL5rjD_ZhQ/view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2026-10-05T10:51:40+02:00</dcterms:created>
  <dcterms:modified xsi:type="dcterms:W3CDTF">2026-10-05T10:51:40+02:00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