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Exhibition Stand at the EU Regions Week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Living-in.EU is the digital transformation movement of EU cities, regions and Member States. If you are a decision-maker at local, regional or national level tasked with turning cities and communities into smart and sustainable places where people enjoy living and working, then you should join Living-in.EU now! Living-in.EU is gaining momentum as an increasing number of cities turn to technology to solve the growing range of interconnected challenges: mobility, energy, the economy.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to see us between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10th and 12th of October </w:t>
      </w:r>
      <w:r>
        <w:rPr>
          <w:rFonts w:ascii="Arial" w:hAnsi="Arial" w:eastAsia="Arial" w:cs="Arial"/>
          <w:color w:val="000"/>
          <w:sz w:val="18"/>
          <w:szCs w:val="18"/>
        </w:rPr>
        <w:t xml:space="preserve">from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 9:00 until 18:00 </w:t>
      </w:r>
      <w:r>
        <w:rPr>
          <w:rFonts w:ascii="Arial" w:hAnsi="Arial" w:eastAsia="Arial" w:cs="Arial"/>
          <w:color w:val="000"/>
          <w:sz w:val="18"/>
          <w:szCs w:val="18"/>
        </w:rPr>
        <w:t xml:space="preserve">during the EU Regions Week!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2026-08-07T19:51:20+02:00</dcterms:created>
  <dcterms:modified xsi:type="dcterms:W3CDTF">2026-08-07T19:51:20+02:00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