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Exhibition Stand at the EU Regions Week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is the digital transformation movement of EU cities, regions and Member States. If you are a decision-maker at local, regional or national level tasked with turning cities and communities into smart and sustainable places where people enjoy living and working, then you should join Living-in.EU now! Living-in.EU is gaining momentum as an increasing number of cities turn to technology to solve the growing range of interconnected challenges: mobility, energy, the economy.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to see us between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10th and 12th of October </w:t>
      </w:r>
      <w:r>
        <w:rPr>
          <w:rFonts w:ascii="Arial" w:hAnsi="Arial" w:eastAsia="Arial" w:cs="Arial"/>
          <w:color w:val="000"/>
          <w:sz w:val="18"/>
          <w:szCs w:val="18"/>
        </w:rPr>
        <w:t xml:space="preserve">from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9:00 until 18:00 </w:t>
      </w:r>
      <w:r>
        <w:rPr>
          <w:rFonts w:ascii="Arial" w:hAnsi="Arial" w:eastAsia="Arial" w:cs="Arial"/>
          <w:color w:val="000"/>
          <w:sz w:val="18"/>
          <w:szCs w:val="18"/>
        </w:rPr>
        <w:t xml:space="preserve">during the EU Regions Week!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2026-10-05T19:23:04+02:00</dcterms:created>
  <dcterms:modified xsi:type="dcterms:W3CDTF">2026-10-05T19:23:04+02:00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