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Addressing the digital skills gap in European regions and cities on AI and big data, now for real!</w:t>
      </w:r>
    </w:p>
    <w:p>
      <w:pPr/>
    </w:p>
    <w:p>
      <w:pPr>
        <w:spacing w:line="288" w:lineRule="auto"/>
      </w:pPr>
      <w:r>
        <w:rPr>
          <w:rFonts w:ascii="Arial" w:hAnsi="Arial" w:eastAsia="Arial" w:cs="Arial"/>
          <w:color w:val="000"/>
          <w:sz w:val="18"/>
          <w:szCs w:val="18"/>
        </w:rPr>
        <w:t xml:space="preserve">This workshop will focus on how digital skills programmes at regional and municipal level reinforce each other and work together to strengthen regional and city ecosystems. The aim of the workshop is to demonstrate the added value of the DT4REGIONS and Living-in.EU initiatives to scale up and effectively improve the digital transformation skills of European regions and cities. The workshop will be moderated by the Computer Vision Center, featured by DG CNECT, Emilia-Romagna, the City of Helsinki and the European Network of Living Labs.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2026-08-07T19:02:25+02:00</dcterms:created>
  <dcterms:modified xsi:type="dcterms:W3CDTF">2026-08-07T19:02:25+02:00</dcterms:modified>
</cp:coreProperties>
</file>

<file path=docProps/custom.xml><?xml version="1.0" encoding="utf-8"?>
<Properties xmlns="http://schemas.openxmlformats.org/officeDocument/2006/custom-properties" xmlns:vt="http://schemas.openxmlformats.org/officeDocument/2006/docPropsVTypes"/>
</file>