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Joint Research Centre (JRC) Publication - Cities fit for the digital age</w:t>
      </w:r>
    </w:p>
    <w:p>
      <w:pPr/>
    </w:p>
    <w:p>
      <w:pPr>
        <w:spacing w:line="288" w:lineRule="auto"/>
      </w:pPr>
      <w:r>
        <w:rPr>
          <w:rFonts w:ascii="Arial" w:hAnsi="Arial" w:eastAsia="Arial" w:cs="Arial"/>
          <w:color w:val="000"/>
          <w:sz w:val="18"/>
          <w:szCs w:val="18"/>
        </w:rPr>
        <w:t xml:space="preserve">The European Commission's Joint Research Centre as published the "Cities fit for the digital ages" report, as part of its "The Future of Cities" series.</w:t>
      </w:r>
    </w:p>
    <w:p>
      <w:pPr>
        <w:spacing w:line="288" w:lineRule="auto"/>
      </w:pPr>
      <w:r>
        <w:rPr>
          <w:rFonts w:ascii="Arial" w:hAnsi="Arial" w:eastAsia="Arial" w:cs="Arial"/>
          <w:color w:val="000"/>
          <w:sz w:val="18"/>
          <w:szCs w:val="18"/>
        </w:rPr>
        <w:t xml:space="preserve">The report is extremely interesting for Cities and Communities working on their Digital Transformation.</w:t>
      </w:r>
    </w:p>
    <w:p>
      <w:pPr>
        <w:spacing w:line="288" w:lineRule="auto"/>
      </w:pPr>
      <w:r>
        <w:rPr>
          <w:rFonts w:ascii="Arial" w:hAnsi="Arial" w:eastAsia="Arial" w:cs="Arial"/>
          <w:color w:val="000"/>
          <w:sz w:val="18"/>
          <w:szCs w:val="18"/>
          <w:b w:val="1"/>
          <w:bCs w:val="1"/>
        </w:rPr>
        <w:t xml:space="preserve">Abstract</w:t>
      </w:r>
      <w:r>
        <w:rPr>
          <w:rFonts w:ascii="Arial" w:hAnsi="Arial" w:eastAsia="Arial" w:cs="Arial"/>
          <w:color w:val="000"/>
          <w:sz w:val="18"/>
          <w:szCs w:val="18"/>
        </w:rPr>
        <w:t xml:space="preserve">: Digital technologies and innovative solutions can act as critical enablers in enhancing services and contribute to improving the urban environment and the overall quality of life of its citizens. Cities and communities should implement interoperable solutions, based on existing open standards and technical specifications, to avoid vendor-lock in, benefit from cross-domain, integrated services and infrastructures, reduce costs, and scale up successful projects. Efforts should be made to increase resources and improve capacity and skills around data management as well as in the use of innovation procurement. The introduction of new services and technology applications can create or increase disparities in terms of the digital and social divide in relation to age, gender, economic status, etc. Public bodies at local, national and EU level need to introduce appropriate measures to prepare for the possible consequences of digital innovation in cities.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ations.jrc.ec.europa.eu/repository/handle/JRC1287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2026-06-06T02:04:32+02:00</dcterms:created>
  <dcterms:modified xsi:type="dcterms:W3CDTF">2026-06-06T02:04:32+02:00</dcterms:modified>
</cp:coreProperties>
</file>

<file path=docProps/custom.xml><?xml version="1.0" encoding="utf-8"?>
<Properties xmlns="http://schemas.openxmlformats.org/officeDocument/2006/custom-properties" xmlns:vt="http://schemas.openxmlformats.org/officeDocument/2006/docPropsVTypes"/>
</file>