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and Green Communities session - Leading the Digital Decade Event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at the Smart and Green communities’ session on the 2nd June 16:15 to 17:00 CET and find out about funding opportunities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</w:rPr>
        <w:t xml:space="preserve">ustainable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</w:rPr>
        <w:t xml:space="preserve">mart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</w:t>
      </w:r>
      <w:r>
        <w:rPr>
          <w:rFonts w:ascii="Arial" w:hAnsi="Arial" w:eastAsia="Arial" w:cs="Arial"/>
          <w:color w:val="000"/>
          <w:sz w:val="18"/>
          <w:szCs w:val="18"/>
        </w:rPr>
        <w:t xml:space="preserve">ities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</w:t>
      </w:r>
      <w:r>
        <w:rPr>
          <w:rFonts w:ascii="Arial" w:hAnsi="Arial" w:eastAsia="Arial" w:cs="Arial"/>
          <w:color w:val="000"/>
          <w:sz w:val="18"/>
          <w:szCs w:val="18"/>
        </w:rPr>
        <w:t xml:space="preserve">ommunities (SSCC) topics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Europe Programme (DIGITAL)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Cristina Martinez, Deputy Head of the Unit Technologies for Smart Communities, and Andrea Halmos, Policy Officer, will give insights into our vision and long-term strategy for SSCC, present the foreseen calls in the first Work Programme and answer your questions during the Q&amp;A.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Cities are at the forefront of many challenges: social, economic and environmental, they deliver innovation and services that greatly influence the quality of life of citizens, and they are close to the citizen in terms of governance and communication.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Smart and sustainable cities and communities need an integrated and city-oriented approach to deal with the urban dimension of these problems, create and scale-up appropriate solutions and eventually embrace the so-called “twin” green and digital transition.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aims to support cities and communities in these efforts; helping them to pursue their digital transformation regardless of their digital maturity. With the ultimate goal to equip our cities and communities with data-driven decision-making support tools, such as the so-called ‘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Twins’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funding under the Digital Europe Programme will support the implementation of the necessary digital enablers and create EU capacity for-large-scale deployment.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Our first Digital work programme actions will focus on 4 points. The need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Steer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governance aspects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(cross-sector, cross-communities)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Create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dataspace for climate-neutral and smart communities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as part of the Green Deal data space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Support the procurement of interoperable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Data Platforms, and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Build capacity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 in Europe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(by addressing the supply and the demand sides)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for the event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Draft Agenda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Watch video: </w:t>
      </w:r>
      <w:hyperlink r:id="rId9" w:history="1">
        <w:r>
          <w:rPr/>
          <w:t xml:space="preserve">VIDELIO-MULTITRACKS-VOD (creacast.com)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c.ec.europa.eu/ew/register/dgscic/Digital_Decade_2021/m/l/kk/" TargetMode="External"/><Relationship Id="rId8" Type="http://schemas.openxmlformats.org/officeDocument/2006/relationships/hyperlink" Target="https://leading-the-digital-decade.eu/" TargetMode="External"/><Relationship Id="rId9" Type="http://schemas.openxmlformats.org/officeDocument/2006/relationships/hyperlink" Target="https://www.creacast.com/play.php?su=videlio-multitracks-vod&amp;furl=videlio-plessis-vod/CommissionEuropeenne/LDD/GREEN.sm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2026-10-05T10:50:38+02:00</dcterms:created>
  <dcterms:modified xsi:type="dcterms:W3CDTF">2026-10-05T10:50:38+02:00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