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Webinaires: Ressources et dispositifs européens d’appui à la transition numérique des territoires</w:t>
      </w:r>
    </w:p>
    <w:p>
      <w:pPr/>
    </w:p>
    <w:p>
      <w:pPr>
        <w:spacing w:line="288" w:lineRule="auto"/>
      </w:pPr>
      <w:r>
        <w:rPr>
          <w:rFonts w:ascii="Arial" w:hAnsi="Arial" w:eastAsia="Arial" w:cs="Arial"/>
          <w:color w:val="000"/>
          <w:sz w:val="18"/>
          <w:szCs w:val="18"/>
        </w:rPr>
        <w:t xml:space="preserve">La transition numérique des collectivités locales s’impose aujourd’hui pour optimiser la mise en œuvre des politiques publiques et accélérer la transition écologique. Dans un grand nombre de domaines, tels que la gestion des risques, l’aménagement du territoire, la gestion de la mobilité ou encore la sobriété foncière, l’usage des jumeaux numériques révolutionne les approches et le pilotage des politiques publiques.</w:t>
      </w:r>
    </w:p>
    <w:p>
      <w:pPr>
        <w:spacing w:line="288" w:lineRule="auto"/>
      </w:pPr>
      <w:r>
        <w:rPr>
          <w:rFonts w:ascii="Arial" w:hAnsi="Arial" w:eastAsia="Arial" w:cs="Arial"/>
          <w:color w:val="000"/>
          <w:sz w:val="18"/>
          <w:szCs w:val="18"/>
        </w:rPr>
        <w:t xml:space="preserve">Mais l’émergence de ces nouvelles technologies et de ces nouveaux usages implique une montée en compétences des collectivités, qui ne s’engagent pas toutes de la même manière dans leurs parcours de transition numérique. Par ailleurs, l’utilisation de jumeaux numériques révèle la nécessaire mise en commun des données entre tous les acteurs d’un territoire, appelant un pilotage de la Data territoriale articulé entre les échelles territoriales, et la mise en place de concepts clés tels que l’interopérabilité ou les espaces de données.</w:t>
      </w:r>
    </w:p>
    <w:p>
      <w:pPr>
        <w:spacing w:line="288" w:lineRule="auto"/>
      </w:pPr>
      <w:r>
        <w:rPr>
          <w:rFonts w:ascii="Arial" w:hAnsi="Arial" w:eastAsia="Arial" w:cs="Arial"/>
          <w:color w:val="000"/>
          <w:sz w:val="18"/>
          <w:szCs w:val="18"/>
        </w:rPr>
        <w:t xml:space="preserve">Comment relever tous ces défis ? Avec quels dispositifs de soutien ? Comment rendre les nouvelles technologies accessibles à tous les territoires ?</w:t>
      </w:r>
    </w:p>
    <w:p>
      <w:pPr>
        <w:pStyle w:val="Heading3"/>
      </w:pPr>
      <w:r>
        <w:rPr/>
        <w:t xml:space="preserve">Faisant suite à l'événement du 25 mars au Hub des Territoires, la Commission Européenne, Cap Digital et le CEREMA donnent rendez-vous aux collectivités pour trois séances en ligne les 10 juin, 17 juin, et 3 juillet.</w:t>
      </w:r>
    </w:p>
    <w:p>
      <w:pPr>
        <w:pStyle w:val="Heading4"/>
      </w:pPr>
      <w:r>
        <w:rPr/>
        <w:t xml:space="preserve">Phase 1 – PLANIFIEZ LES LEVIERS DE VOTRE TRANSFORMATION 10 juin | 10 :30 –12 :00</w:t>
      </w:r>
    </w:p>
    <w:p>
      <w:pPr>
        <w:spacing w:line="288" w:lineRule="auto"/>
      </w:pPr>
      <w:r>
        <w:rPr>
          <w:rFonts w:ascii="Arial" w:hAnsi="Arial" w:eastAsia="Arial" w:cs="Arial"/>
          <w:color w:val="000"/>
          <w:sz w:val="18"/>
          <w:szCs w:val="18"/>
        </w:rPr>
        <w:t xml:space="preserve">1. Evaluez votre maturité numérique avec LORDIMAS</w:t>
      </w:r>
    </w:p>
    <w:p>
      <w:pPr>
        <w:spacing w:line="288" w:lineRule="auto"/>
      </w:pPr>
      <w:r>
        <w:rPr>
          <w:rFonts w:ascii="Arial" w:hAnsi="Arial" w:eastAsia="Arial" w:cs="Arial"/>
          <w:color w:val="000"/>
          <w:sz w:val="18"/>
          <w:szCs w:val="18"/>
        </w:rPr>
        <w:t xml:space="preserve">2. Votre feuille de route de transition numérique et le soutien en matière d'approvisionnement avec le Online Procurement Helpdesk</w:t>
      </w:r>
    </w:p>
    <w:p>
      <w:pPr>
        <w:spacing w:line="288" w:lineRule="auto"/>
      </w:pPr>
      <w:r>
        <w:rPr>
          <w:rFonts w:ascii="Arial" w:hAnsi="Arial" w:eastAsia="Arial" w:cs="Arial"/>
          <w:color w:val="000"/>
          <w:sz w:val="18"/>
          <w:szCs w:val="18"/>
        </w:rPr>
        <w:t xml:space="preserve">3. Témoignages et bonnes pratiques des collectivités</w:t>
      </w:r>
    </w:p>
    <w:p>
      <w:pPr>
        <w:spacing w:line="288" w:lineRule="auto"/>
      </w:pPr>
      <w:r>
        <w:rPr>
          <w:rFonts w:ascii="Arial" w:hAnsi="Arial" w:eastAsia="Arial" w:cs="Arial"/>
          <w:color w:val="000"/>
          <w:sz w:val="18"/>
          <w:szCs w:val="18"/>
          <w:i w:val="1"/>
          <w:iCs w:val="1"/>
        </w:rPr>
        <w:t xml:space="preserve">Au cours de cette session, vous apprendrez comment libérer le potentiel de la numérisation pour atteindre les objectifs du pacte vert pour l’Europe en planifiant votre stratégie numérique avec LORDIMAS et en élaborant votre propre feuille de route de transition numérique.</w:t>
      </w:r>
    </w:p>
    <w:p>
      <w:pPr>
        <w:pStyle w:val="Heading4"/>
      </w:pPr>
      <w:r>
        <w:rPr/>
        <w:t xml:space="preserve">Objectifs d’apprentissage :</w:t>
      </w:r>
    </w:p>
    <w:p>
      <w:pPr>
        <w:spacing w:line="288" w:lineRule="auto"/>
      </w:pPr>
      <w:r>
        <w:rPr>
          <w:rFonts w:ascii="Arial" w:hAnsi="Arial" w:eastAsia="Arial" w:cs="Arial"/>
          <w:color w:val="000"/>
          <w:sz w:val="18"/>
          <w:szCs w:val="18"/>
        </w:rPr>
        <w:t xml:space="preserve">● Apprenez à évaluer votre maturité numérique locale et régionale avec l'outil ouvert et gratuit </w:t>
      </w:r>
      <w:hyperlink r:id="rId7" w:history="1">
        <w:r>
          <w:rPr/>
          <w:t xml:space="preserve">LORDIMAS</w:t>
        </w:r>
      </w:hyperlink>
      <w:r>
        <w:rPr>
          <w:rFonts w:ascii="Arial" w:hAnsi="Arial" w:eastAsia="Arial" w:cs="Arial"/>
          <w:color w:val="000"/>
          <w:sz w:val="18"/>
          <w:szCs w:val="18"/>
        </w:rPr>
        <w:t xml:space="preserve"> et ayez l'occasion d'échanger avec des autres collectivités pendant la session. *</w:t>
      </w:r>
    </w:p>
    <w:p>
      <w:pPr>
        <w:spacing w:line="288" w:lineRule="auto"/>
      </w:pPr>
      <w:r>
        <w:rPr>
          <w:rFonts w:ascii="Arial" w:hAnsi="Arial" w:eastAsia="Arial" w:cs="Arial"/>
          <w:color w:val="000"/>
          <w:sz w:val="18"/>
          <w:szCs w:val="18"/>
        </w:rPr>
        <w:t xml:space="preserve">● Apprenez à mettre en œuvre la méthodologie de l’UE pour définir votre propre feuille de route en matière de numérisation.</w:t>
      </w:r>
    </w:p>
    <w:p>
      <w:pPr>
        <w:spacing w:line="288" w:lineRule="auto"/>
      </w:pPr>
      <w:r>
        <w:rPr>
          <w:rFonts w:ascii="Arial" w:hAnsi="Arial" w:eastAsia="Arial" w:cs="Arial"/>
          <w:color w:val="000"/>
          <w:sz w:val="18"/>
          <w:szCs w:val="18"/>
        </w:rPr>
        <w:t xml:space="preserve">● Découvrez des modèles de marchés publics sur mesure de l’UE alignés sur les principes et les normes de l’UE afin de combler les lacunes recensées dans votre feuille de route pour la numérisation.</w:t>
      </w:r>
    </w:p>
    <w:p>
      <w:pPr>
        <w:pStyle w:val="Heading5"/>
      </w:pPr>
      <w:r>
        <w:rPr>
          <w:i w:val="1"/>
          <w:iCs w:val="1"/>
        </w:rPr>
        <w:t xml:space="preserve">* S'il vous plaît vérifier </w:t>
      </w:r>
      <w:hyperlink r:id="rId8" w:history="1">
        <w:r>
          <w:rPr/>
          <w:t xml:space="preserve">l'évaluation LORDIMAS</w:t>
        </w:r>
      </w:hyperlink>
      <w:r>
        <w:rPr>
          <w:i w:val="1"/>
          <w:iCs w:val="1"/>
        </w:rPr>
        <w:t xml:space="preserve"> avant l'événement pour pouvoir répondre à vos questions.</w:t>
      </w:r>
    </w:p>
    <w:p>
      <w:pPr>
        <w:spacing w:line="288" w:lineRule="auto"/>
      </w:pPr>
      <w:r>
        <w:rPr>
          <w:rFonts w:ascii="Arial" w:hAnsi="Arial" w:eastAsia="Arial" w:cs="Arial"/>
          <w:color w:val="000"/>
          <w:sz w:val="18"/>
          <w:szCs w:val="18"/>
        </w:rPr>
        <w:t xml:space="preserve">______________________________________</w:t>
      </w:r>
    </w:p>
    <w:p>
      <w:pPr>
        <w:pStyle w:val="Heading4"/>
      </w:pPr>
      <w:r>
        <w:rPr/>
        <w:t xml:space="preserve">Phase 2 – PRÉPAREZ VOTRE TRANSFORMATION | 17 juin | 10:30-12:00</w:t>
      </w:r>
    </w:p>
    <w:p>
      <w:pPr>
        <w:spacing w:line="288" w:lineRule="auto"/>
      </w:pPr>
      <w:r>
        <w:rPr>
          <w:rFonts w:ascii="Arial" w:hAnsi="Arial" w:eastAsia="Arial" w:cs="Arial"/>
          <w:color w:val="000"/>
          <w:sz w:val="18"/>
          <w:szCs w:val="18"/>
        </w:rPr>
        <w:t xml:space="preserve">5. Décarbonisez avec le soutien de la Cities Mission Platform (Net Zero Cities)</w:t>
      </w:r>
    </w:p>
    <w:p>
      <w:pPr>
        <w:spacing w:line="288" w:lineRule="auto"/>
      </w:pPr>
      <w:r>
        <w:rPr>
          <w:rFonts w:ascii="Arial" w:hAnsi="Arial" w:eastAsia="Arial" w:cs="Arial"/>
          <w:color w:val="000"/>
          <w:sz w:val="18"/>
          <w:szCs w:val="18"/>
        </w:rPr>
        <w:t xml:space="preserve">6. Plateformes de données ouvertes, espaces de données et MIMs: la fondation des Jumeaux Numériques Locaux</w:t>
      </w:r>
    </w:p>
    <w:p>
      <w:pPr>
        <w:spacing w:line="288" w:lineRule="auto"/>
      </w:pPr>
      <w:r>
        <w:rPr>
          <w:rFonts w:ascii="Arial" w:hAnsi="Arial" w:eastAsia="Arial" w:cs="Arial"/>
          <w:color w:val="000"/>
          <w:sz w:val="18"/>
          <w:szCs w:val="18"/>
        </w:rPr>
        <w:t xml:space="preserve">7. Fédération des espaces des données et interoperabilité</w:t>
      </w:r>
    </w:p>
    <w:p>
      <w:pPr>
        <w:spacing w:line="288" w:lineRule="auto"/>
      </w:pPr>
      <w:r>
        <w:rPr>
          <w:rFonts w:ascii="Arial" w:hAnsi="Arial" w:eastAsia="Arial" w:cs="Arial"/>
          <w:color w:val="000"/>
          <w:sz w:val="18"/>
          <w:szCs w:val="18"/>
          <w:i w:val="1"/>
          <w:iCs w:val="1"/>
        </w:rPr>
        <w:t xml:space="preserve">Au cours de cette session, vous découvrirez l'infrastructure dont vous avez besoin pour mettre en œuvre votre feuille de route de numérisation et, en fin de compte, une plateforme numérique locale et des jumeaux numériques locaux, à l'aide des mécanismes d'interopérabilité minimum disponibles (Minimum Interoperability Mechanisms).</w:t>
      </w:r>
    </w:p>
    <w:p>
      <w:pPr>
        <w:pStyle w:val="Heading4"/>
      </w:pPr>
      <w:r>
        <w:rPr/>
        <w:t xml:space="preserve">Objectifs d’apprentissage:</w:t>
      </w:r>
    </w:p>
    <w:p>
      <w:pPr>
        <w:spacing w:line="288" w:lineRule="auto"/>
      </w:pPr>
      <w:r>
        <w:rPr>
          <w:rFonts w:ascii="Arial" w:hAnsi="Arial" w:eastAsia="Arial" w:cs="Arial"/>
          <w:color w:val="000"/>
          <w:sz w:val="18"/>
          <w:szCs w:val="18"/>
        </w:rPr>
        <w:t xml:space="preserve">● En savoir plus sur les objectifs de la mission </w:t>
      </w:r>
      <w:hyperlink r:id="rId9" w:history="1">
        <w:r>
          <w:rPr/>
          <w:t xml:space="preserve">Climate Neutral and Smart Cities Mission</w:t>
        </w:r>
      </w:hyperlink>
      <w:r>
        <w:rPr>
          <w:rFonts w:ascii="Arial" w:hAnsi="Arial" w:eastAsia="Arial" w:cs="Arial"/>
          <w:color w:val="000"/>
          <w:sz w:val="18"/>
          <w:szCs w:val="18"/>
        </w:rPr>
        <w:t xml:space="preserve"> et sur la manière dont les villes peuvent s’impliquer.</w:t>
      </w:r>
    </w:p>
    <w:p>
      <w:pPr>
        <w:spacing w:line="288" w:lineRule="auto"/>
      </w:pPr>
      <w:r>
        <w:rPr>
          <w:rFonts w:ascii="Arial" w:hAnsi="Arial" w:eastAsia="Arial" w:cs="Arial"/>
          <w:color w:val="000"/>
          <w:sz w:val="18"/>
          <w:szCs w:val="18"/>
        </w:rPr>
        <w:t xml:space="preserve">● Découvrez les ressources et les avantages que l’initiative </w:t>
      </w:r>
      <w:hyperlink r:id="rId10" w:history="1">
        <w:r>
          <w:rPr/>
          <w:t xml:space="preserve">Net Zero Cities</w:t>
        </w:r>
      </w:hyperlink>
      <w:r>
        <w:rPr>
          <w:rFonts w:ascii="Arial" w:hAnsi="Arial" w:eastAsia="Arial" w:cs="Arial"/>
          <w:color w:val="000"/>
          <w:sz w:val="18"/>
          <w:szCs w:val="18"/>
        </w:rPr>
        <w:t xml:space="preserve"> peut offrir à votre ville, quelle que soit votre étape vers la neutralité climatique.</w:t>
      </w:r>
    </w:p>
    <w:p>
      <w:pPr>
        <w:spacing w:line="288" w:lineRule="auto"/>
      </w:pPr>
      <w:r>
        <w:rPr>
          <w:rFonts w:ascii="Arial" w:hAnsi="Arial" w:eastAsia="Arial" w:cs="Arial"/>
          <w:color w:val="000"/>
          <w:sz w:val="18"/>
          <w:szCs w:val="18"/>
        </w:rPr>
        <w:t xml:space="preserve">● Comprenez l'importance des données ouvertes et partageables comme fondement de vos infrastructures de données.</w:t>
      </w:r>
    </w:p>
    <w:p>
      <w:pPr>
        <w:spacing w:line="288" w:lineRule="auto"/>
      </w:pPr>
      <w:r>
        <w:rPr>
          <w:rFonts w:ascii="Arial" w:hAnsi="Arial" w:eastAsia="Arial" w:cs="Arial"/>
          <w:color w:val="000"/>
          <w:sz w:val="18"/>
          <w:szCs w:val="18"/>
        </w:rPr>
        <w:t xml:space="preserve">● Découvrez comment mettre en œuvre des plates-formes de données ouvertes et des espaces de données grâce à une architecture de référence ouverte prise en charge par </w:t>
      </w:r>
      <w:hyperlink r:id="rId11" w:history="1">
        <w:r>
          <w:rPr/>
          <w:t xml:space="preserve">Minimal Interoperability Mechanisms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______________________________________</w:t>
      </w:r>
    </w:p>
    <w:p>
      <w:pPr>
        <w:pStyle w:val="Heading4"/>
      </w:pPr>
      <w:r>
        <w:rPr/>
        <w:t xml:space="preserve">Phase 3 – EMPOWERMENT : ENGAGEZ VOTRE TRANSFORMATION | 3 juillet | 10 :30–12 :00</w:t>
      </w:r>
    </w:p>
    <w:p>
      <w:pPr>
        <w:spacing w:line="288" w:lineRule="auto"/>
      </w:pPr>
      <w:r>
        <w:rPr>
          <w:rFonts w:ascii="Arial" w:hAnsi="Arial" w:eastAsia="Arial" w:cs="Arial"/>
          <w:color w:val="000"/>
          <w:sz w:val="18"/>
          <w:szCs w:val="18"/>
        </w:rPr>
        <w:t xml:space="preserve">8. The EU Local Digital Twin Toolbox : services et ressoures disponibles pour les communautés intelligentes</w:t>
      </w:r>
    </w:p>
    <w:p>
      <w:pPr>
        <w:spacing w:line="288" w:lineRule="auto"/>
      </w:pPr>
      <w:r>
        <w:rPr>
          <w:rFonts w:ascii="Arial" w:hAnsi="Arial" w:eastAsia="Arial" w:cs="Arial"/>
          <w:color w:val="000"/>
          <w:sz w:val="18"/>
          <w:szCs w:val="18"/>
        </w:rPr>
        <w:t xml:space="preserve">9. Living-in.EU : le portail vers le partage de connaissances, des ressources sélectionnées et de solutions évolutives.</w:t>
      </w:r>
    </w:p>
    <w:p>
      <w:pPr>
        <w:spacing w:line="288" w:lineRule="auto"/>
      </w:pPr>
      <w:r>
        <w:rPr>
          <w:rFonts w:ascii="Arial" w:hAnsi="Arial" w:eastAsia="Arial" w:cs="Arial"/>
          <w:color w:val="000"/>
          <w:sz w:val="18"/>
          <w:szCs w:val="18"/>
        </w:rPr>
        <w:t xml:space="preserve">10. Possibilités de financement de l’UE pour mettre en œuvre votre stratégie numérique.</w:t>
      </w:r>
    </w:p>
    <w:p>
      <w:pPr>
        <w:spacing w:line="288" w:lineRule="auto"/>
      </w:pPr>
      <w:r>
        <w:rPr>
          <w:rFonts w:ascii="Arial" w:hAnsi="Arial" w:eastAsia="Arial" w:cs="Arial"/>
          <w:color w:val="000"/>
          <w:sz w:val="18"/>
          <w:szCs w:val="18"/>
          <w:i w:val="1"/>
          <w:iCs w:val="1"/>
        </w:rPr>
        <w:t xml:space="preserve">Au cours de cette session, les collectivités locales et régionales apprendront comment la communauté et le réseau Living-in.EU peuvent les soutenir dans leur transition numérique et écologique grâce au partage des connaissances, à la découverte de ressources et d’outils de l’UE et à l’échange avec leurs pairs de l’UE. Des outils open source disponibles par l’intermédiaire de la EU Local Digital Twins Toolbox seront présentés. Enfin, les possibilités de financement disponibles et la façon de présenter une demande et d'y accéder clôtureront la session.</w:t>
      </w:r>
    </w:p>
    <w:p>
      <w:pPr>
        <w:pStyle w:val="Heading4"/>
      </w:pPr>
      <w:r>
        <w:rPr/>
        <w:t xml:space="preserve">Objectifs d’apprentissage:</w:t>
      </w:r>
    </w:p>
    <w:p>
      <w:pPr>
        <w:spacing w:line="288" w:lineRule="auto"/>
      </w:pPr>
      <w:r>
        <w:rPr>
          <w:rFonts w:ascii="Arial" w:hAnsi="Arial" w:eastAsia="Arial" w:cs="Arial"/>
          <w:color w:val="000"/>
          <w:sz w:val="18"/>
          <w:szCs w:val="18"/>
        </w:rPr>
        <w:t xml:space="preserve">● Découvrez la communauté d'apprentissage Living-in.EU, comment utiliser les ressources développées pour et par la communauté, et comment s'engager dans leurs activités en rejoignant ses groupes de travail sur les questions juridiques, techniques, de suivi et de mesure, d'éducation et de renforcement des capacités, et financières (Legal, Technical, Monitoring and Measuring, Education and Capacity Building, and Financial).</w:t>
      </w:r>
    </w:p>
    <w:p>
      <w:pPr>
        <w:spacing w:line="288" w:lineRule="auto"/>
      </w:pPr>
      <w:r>
        <w:rPr>
          <w:rFonts w:ascii="Arial" w:hAnsi="Arial" w:eastAsia="Arial" w:cs="Arial"/>
          <w:color w:val="000"/>
          <w:sz w:val="18"/>
          <w:szCs w:val="18"/>
        </w:rPr>
        <w:t xml:space="preserve">● Découvrez les outils open source disponibles avec le EU LDT Toolbox.</w:t>
      </w:r>
    </w:p>
    <w:p>
      <w:pPr>
        <w:spacing w:line="288" w:lineRule="auto"/>
      </w:pPr>
      <w:r>
        <w:rPr>
          <w:rFonts w:ascii="Arial" w:hAnsi="Arial" w:eastAsia="Arial" w:cs="Arial"/>
          <w:color w:val="000"/>
          <w:sz w:val="18"/>
          <w:szCs w:val="18"/>
        </w:rPr>
        <w:t xml:space="preserve">● Découvrez les possibilités de financement au niveau de l’UE et apprenez à postuler et à préparer votre proposition.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Vous trouverez notre </w:t>
      </w:r>
      <w:hyperlink r:id="rId12" w:history="1">
        <w:r>
          <w:rPr/>
          <w:t xml:space="preserve">Privacy statement for meetings organized ici</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gis-portal.espon.eu/arcgis/apps/experiencebuilder/experience/?id=975e0dd3bcf84aa9810f0f5b5f7b9b65&amp;page=page_24&amp;views=view_32" TargetMode="External"/><Relationship Id="rId9" Type="http://schemas.openxmlformats.org/officeDocument/2006/relationships/hyperlink" Target="https://research-and-innovation.ec.europa.eu/funding/funding-opportunities/funding-programmes-and-open-calls/horizon-europe/eu-missions-horizon-europe/climate-neutral-and-smart-cities_en" TargetMode="External"/><Relationship Id="rId10" Type="http://schemas.openxmlformats.org/officeDocument/2006/relationships/hyperlink" Target="https://netzerocities.eu/" TargetMode="External"/><Relationship Id="rId11" Type="http://schemas.openxmlformats.org/officeDocument/2006/relationships/hyperlink" Target="https://living-in.eu/groups/commitments/technical" TargetMode="External"/><Relationship Id="rId12" Type="http://schemas.openxmlformats.org/officeDocument/2006/relationships/hyperlink" Target="https://5039954.fs1.hubspotusercontent-na1.net/hubfs/5039954/Privacy%20statement%20for%20meetings%20organized%20by%20NCP_26092024.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2026-08-06T09:24:24+02:00</dcterms:created>
  <dcterms:modified xsi:type="dcterms:W3CDTF">2026-08-06T09:24:24+02:00</dcterms:modified>
</cp:coreProperties>
</file>

<file path=docProps/custom.xml><?xml version="1.0" encoding="utf-8"?>
<Properties xmlns="http://schemas.openxmlformats.org/officeDocument/2006/custom-properties" xmlns:vt="http://schemas.openxmlformats.org/officeDocument/2006/docPropsVTypes"/>
</file>