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Transformatie bij Vlaamse lokale besturen - Een Europese blik op lokale uitdagingen</w:t>
      </w:r>
    </w:p>
    <w:p>
      <w:pPr/>
    </w:p>
    <w:p>
      <w:pPr>
        <w:pStyle w:val="Heading2"/>
      </w:pPr>
      <w:r>
        <w:rPr/>
        <w:t xml:space="preserve">Een digitale trainingssessie </w:t>
      </w:r>
    </w:p>
    <w:p>
      <w:pPr>
        <w:spacing w:line="288" w:lineRule="auto"/>
      </w:pPr>
      <w:r>
        <w:rPr>
          <w:rFonts w:ascii="Arial" w:hAnsi="Arial" w:eastAsia="Arial" w:cs="Arial"/>
          <w:color w:val="000"/>
          <w:sz w:val="18"/>
          <w:szCs w:val="18"/>
        </w:rPr>
        <w:t xml:space="preserve">Op 2 april organiseerde de </w:t>
      </w:r>
      <w:hyperlink r:id="rId7" w:history="1">
        <w:r>
          <w:rPr/>
          <w:t xml:space="preserve">Smart Region Office</w:t>
        </w:r>
      </w:hyperlink>
      <w:r>
        <w:rPr>
          <w:rFonts w:ascii="Arial" w:hAnsi="Arial" w:eastAsia="Arial" w:cs="Arial"/>
          <w:color w:val="000"/>
          <w:sz w:val="18"/>
          <w:szCs w:val="18"/>
        </w:rPr>
        <w:t xml:space="preserve"> samen met de Brussels en Waalse collega’s een Slimme Regio partnerdag. Op deze halve dag ging het over digitale transformatie bij het lokaal bestuur en de regionale overheid, vanuit een Europees perspectief. Er werd een overzicht gegeven van heel wat initiatieven op Europees niveau die kunnen helpen om deze transformatie te realiseren, samen met een aantal sterke, lokale voorbeelden. </w:t>
      </w:r>
    </w:p>
    <w:p>
      <w:pPr>
        <w:spacing w:line="288" w:lineRule="auto"/>
      </w:pPr>
      <w:r>
        <w:rPr>
          <w:rFonts w:ascii="Arial" w:hAnsi="Arial" w:eastAsia="Arial" w:cs="Arial"/>
          <w:color w:val="000"/>
          <w:sz w:val="18"/>
          <w:szCs w:val="18"/>
        </w:rPr>
        <w:t xml:space="preserve">Tijdens dit webinar gaan we dieper in op een aantal van de tools, instrumenten en ondersteuning die op Europees niveau beschikbaar zijn. Wanneer je je inschrijft voor dit webinar krijg je toegang tot verschillende video-opleidingen die je op voorhand kan bekijken. Tijdens de sessie overlopen we het beschikbaar materiaal en kunnen we eventuele vragen capteren en in gesprek gaan.</w:t>
      </w:r>
    </w:p>
    <w:p>
      <w:pPr>
        <w:spacing w:line="288" w:lineRule="auto"/>
      </w:pPr>
      <w:r>
        <w:rPr>
          <w:rFonts w:ascii="Arial" w:hAnsi="Arial" w:eastAsia="Arial" w:cs="Arial"/>
          <w:color w:val="000"/>
          <w:sz w:val="18"/>
          <w:szCs w:val="18"/>
        </w:rPr>
        <w:t xml:space="preserve">Deze webinar wordt georganiseerd vanuit het </w:t>
      </w:r>
      <w:hyperlink r:id="rId8" w:history="1">
        <w:r>
          <w:rPr/>
          <w:t xml:space="preserve">Smart Communities Network(opent in nieuw venster)</w:t>
        </w:r>
      </w:hyperlink>
      <w:r>
        <w:rPr>
          <w:rFonts w:ascii="Arial" w:hAnsi="Arial" w:eastAsia="Arial" w:cs="Arial"/>
          <w:color w:val="000"/>
          <w:sz w:val="18"/>
          <w:szCs w:val="18"/>
        </w:rPr>
        <w:t xml:space="preserve"> waarin de Smart Region Office Vlaanderen vertegenwoordigt.</w:t>
      </w:r>
    </w:p>
    <w:p>
      <w:pPr>
        <w:pStyle w:val="Heading2"/>
      </w:pPr>
      <w:r>
        <w:rPr/>
        <w:t xml:space="preserve">Doelpubliek </w:t>
      </w:r>
    </w:p>
    <w:p>
      <w:pPr>
        <w:pStyle w:val="Heading3"/>
      </w:pPr>
      <w:r>
        <w:rPr/>
        <w:t xml:space="preserve">Lokale en regionale overheden</w:t>
      </w:r>
    </w:p>
    <w:p>
      <w:pPr>
        <w:numPr>
          <w:ilvl w:val="0"/>
          <w:numId w:val="1"/>
        </w:numPr>
      </w:pPr>
      <w:r>
        <w:rPr/>
        <w:t xml:space="preserve">Stadsbeheerders en planners </w:t>
      </w:r>
    </w:p>
    <w:p>
      <w:pPr>
        <w:numPr>
          <w:ilvl w:val="0"/>
          <w:numId w:val="1"/>
        </w:numPr>
      </w:pPr>
      <w:r>
        <w:rPr/>
        <w:t xml:space="preserve">Duurzaamheidsverantwoordelijken </w:t>
      </w:r>
    </w:p>
    <w:p>
      <w:pPr>
        <w:numPr>
          <w:ilvl w:val="0"/>
          <w:numId w:val="1"/>
        </w:numPr>
      </w:pPr>
      <w:r>
        <w:rPr/>
        <w:t xml:space="preserve">Digitaliserings- en Smart City-experts </w:t>
      </w:r>
    </w:p>
    <w:p>
      <w:pPr>
        <w:numPr>
          <w:ilvl w:val="0"/>
          <w:numId w:val="1"/>
        </w:numPr>
      </w:pPr>
      <w:r>
        <w:rPr/>
        <w:t xml:space="preserve">Innovatiemanagers </w:t>
      </w:r>
    </w:p>
    <w:p>
      <w:pPr>
        <w:numPr>
          <w:ilvl w:val="0"/>
          <w:numId w:val="1"/>
        </w:numPr>
      </w:pPr>
      <w:r>
        <w:rPr/>
        <w:t xml:space="preserve">Databeheerders </w:t>
      </w:r>
    </w:p>
    <w:p>
      <w:pPr>
        <w:numPr>
          <w:ilvl w:val="0"/>
          <w:numId w:val="1"/>
        </w:numPr>
      </w:pPr>
      <w:r>
        <w:rPr/>
        <w:t xml:space="preserve">ICT-verantwoordelijken </w:t>
      </w:r>
    </w:p>
    <w:p>
      <w:pPr>
        <w:numPr>
          <w:ilvl w:val="0"/>
          <w:numId w:val="1"/>
        </w:numPr>
      </w:pPr>
      <w:r>
        <w:rPr/>
        <w:t xml:space="preserve">Managers internationale samenwerking </w:t>
      </w:r>
    </w:p>
    <w:p>
      <w:pPr>
        <w:numPr>
          <w:ilvl w:val="0"/>
          <w:numId w:val="1"/>
        </w:numPr>
      </w:pPr>
      <w:r>
        <w:rPr/>
        <w:t xml:space="preserve">Communicatiemanagers </w:t>
      </w:r>
    </w:p>
    <w:p>
      <w:pPr>
        <w:numPr>
          <w:ilvl w:val="0"/>
          <w:numId w:val="1"/>
        </w:numPr>
      </w:pPr>
      <w:r>
        <w:rPr/>
        <w:t xml:space="preserve">Aanbestedingsexperts</w:t>
      </w:r>
    </w:p>
    <w:p>
      <w:pPr>
        <w:numPr>
          <w:ilvl w:val="0"/>
          <w:numId w:val="1"/>
        </w:numPr>
      </w:pPr>
      <w:r>
        <w:rPr/>
        <w:t xml:space="preserve">Financieringsverantwoordelijken </w:t>
      </w:r>
    </w:p>
    <w:p>
      <w:pPr>
        <w:pStyle w:val="Heading2"/>
      </w:pPr>
      <w:r>
        <w:rPr/>
        <w:t xml:space="preserve">Overzicht van de ondersteuning in 3 stappen </w:t>
      </w:r>
    </w:p>
    <w:p>
      <w:pPr>
        <w:spacing w:line="288" w:lineRule="auto"/>
      </w:pPr>
      <w:r>
        <w:rPr>
          <w:rFonts w:ascii="Arial" w:hAnsi="Arial" w:eastAsia="Arial" w:cs="Arial"/>
          <w:color w:val="000"/>
          <w:sz w:val="18"/>
          <w:szCs w:val="18"/>
        </w:rPr>
        <w:t xml:space="preserve">Tijdens de webinar overlopen we de ondersteuning die opgebouwd is in drie stappen.</w:t>
      </w:r>
    </w:p>
    <w:p>
      <w:pPr>
        <w:pStyle w:val="Heading3"/>
      </w:pPr>
      <w:r>
        <w:rPr/>
        <w:t xml:space="preserve">Plannen</w:t>
      </w:r>
    </w:p>
    <w:p>
      <w:pPr>
        <w:spacing w:line="288" w:lineRule="auto"/>
      </w:pPr>
      <w:r>
        <w:rPr>
          <w:rFonts w:ascii="Arial" w:hAnsi="Arial" w:eastAsia="Arial" w:cs="Arial"/>
          <w:color w:val="000"/>
          <w:sz w:val="18"/>
          <w:szCs w:val="18"/>
        </w:rPr>
        <w:t xml:space="preserve">In dit deel leer je hoe je het potentieel van digitalisering kan benutten om de Europese duurzaamheidsdoelstellingen aan te vliegen, hoe je je digitale strategie kan beginnen plannen met LORDIMAS, en hoe je je eigen digitaliseringsroadmap kan ontwikkelen.</w:t>
      </w:r>
    </w:p>
    <w:p>
      <w:pPr>
        <w:pStyle w:val="Heading4"/>
      </w:pPr>
      <w:r>
        <w:rPr/>
        <w:t xml:space="preserve">Leerdoelen</w:t>
      </w:r>
    </w:p>
    <w:p>
      <w:pPr>
        <w:numPr>
          <w:ilvl w:val="0"/>
          <w:numId w:val="2"/>
        </w:numPr>
      </w:pPr>
      <w:r>
        <w:rPr>
          <w:rFonts w:ascii="Arial" w:hAnsi="Arial" w:eastAsia="Arial" w:cs="Arial"/>
          <w:color w:val="000"/>
          <w:sz w:val="18"/>
          <w:szCs w:val="18"/>
        </w:rPr>
        <w:t xml:space="preserve">Leer over de doelstellingen van de “Climate Neutral and Smart Cities Mission” en hoe steden hierbij betrokken kunnen raken. </w:t>
      </w:r>
    </w:p>
    <w:p>
      <w:pPr>
        <w:numPr>
          <w:ilvl w:val="0"/>
          <w:numId w:val="3"/>
        </w:numPr>
      </w:pPr>
      <w:r>
        <w:rPr>
          <w:rFonts w:ascii="Arial" w:hAnsi="Arial" w:eastAsia="Arial" w:cs="Arial"/>
          <w:color w:val="000"/>
          <w:sz w:val="18"/>
          <w:szCs w:val="18"/>
        </w:rPr>
        <w:t xml:space="preserve">Ontdek de middelen en voordelen die het Net Zero Cities-initiatief je lokaal bestuur kan bieden. </w:t>
      </w:r>
    </w:p>
    <w:p>
      <w:pPr>
        <w:numPr>
          <w:ilvl w:val="0"/>
          <w:numId w:val="4"/>
        </w:numPr>
      </w:pPr>
      <w:r>
        <w:rPr>
          <w:rFonts w:ascii="Arial" w:hAnsi="Arial" w:eastAsia="Arial" w:cs="Arial"/>
          <w:color w:val="000"/>
          <w:sz w:val="18"/>
          <w:szCs w:val="18"/>
        </w:rPr>
        <w:t xml:space="preserve">Leer hoe je de lokale en regionale digitale maturiteit kan inschatten met het gratis en open LORDIMAS-instrument, en wissel ervaringen uit met collega’s tijdens de sessie. </w:t>
      </w:r>
    </w:p>
    <w:p>
      <w:pPr>
        <w:numPr>
          <w:ilvl w:val="0"/>
          <w:numId w:val="5"/>
        </w:numPr>
      </w:pPr>
      <w:r>
        <w:rPr>
          <w:rFonts w:ascii="Arial" w:hAnsi="Arial" w:eastAsia="Arial" w:cs="Arial"/>
          <w:color w:val="000"/>
          <w:sz w:val="18"/>
          <w:szCs w:val="18"/>
        </w:rPr>
        <w:t xml:space="preserve">Leer hoe je de EU-methodologie implementeert om je eigen digitaliseringsroadmap op te stellen. </w:t>
      </w:r>
    </w:p>
    <w:p>
      <w:pPr>
        <w:numPr>
          <w:ilvl w:val="0"/>
          <w:numId w:val="6"/>
        </w:numPr>
      </w:pPr>
      <w:r>
        <w:rPr>
          <w:rFonts w:ascii="Arial" w:hAnsi="Arial" w:eastAsia="Arial" w:cs="Arial"/>
          <w:color w:val="000"/>
          <w:sz w:val="18"/>
          <w:szCs w:val="18"/>
        </w:rPr>
        <w:t xml:space="preserve">Ontdek EU-aanbestedingssjablonen op maat, afgestemd op EU-principes en -normen, om lacunes in je digitaliseringsroadmap aan te pakken.</w:t>
      </w:r>
    </w:p>
    <w:p>
      <w:pPr>
        <w:pStyle w:val="Heading3"/>
      </w:pPr>
      <w:r>
        <w:rPr/>
        <w:t xml:space="preserve">Voorbereiden</w:t>
      </w:r>
    </w:p>
    <w:p>
      <w:pPr>
        <w:spacing w:line="288" w:lineRule="auto"/>
      </w:pPr>
      <w:r>
        <w:rPr>
          <w:rFonts w:ascii="Arial" w:hAnsi="Arial" w:eastAsia="Arial" w:cs="Arial"/>
          <w:color w:val="000"/>
          <w:sz w:val="18"/>
          <w:szCs w:val="18"/>
        </w:rPr>
        <w:t xml:space="preserve">In dit deel leer je welke infrastructuur je nodig hebt om je digitaliseringsroadmap te implementeren en uiteindelijk naar Local Digital Twins te evolueren, met behulp van beschikbare Minimum Interoperabiliteitsmechanismen (MIMs) en open source-instrumenten uit de Europese Local Digital Twins Toolbox.</w:t>
      </w:r>
    </w:p>
    <w:p>
      <w:pPr>
        <w:pStyle w:val="Heading4"/>
      </w:pPr>
      <w:r>
        <w:rPr/>
        <w:t xml:space="preserve">Leerdoelen</w:t>
      </w:r>
    </w:p>
    <w:p>
      <w:pPr>
        <w:numPr>
          <w:ilvl w:val="0"/>
          <w:numId w:val="7"/>
        </w:numPr>
      </w:pPr>
      <w:r>
        <w:rPr>
          <w:rFonts w:ascii="Arial" w:hAnsi="Arial" w:eastAsia="Arial" w:cs="Arial"/>
          <w:color w:val="000"/>
          <w:sz w:val="18"/>
          <w:szCs w:val="18"/>
        </w:rPr>
        <w:t xml:space="preserve">Begrijp het belang van open en gedeelde data als basis van je data-infrastructuur. </w:t>
      </w:r>
    </w:p>
    <w:p>
      <w:pPr>
        <w:numPr>
          <w:ilvl w:val="0"/>
          <w:numId w:val="8"/>
        </w:numPr>
      </w:pPr>
      <w:r>
        <w:rPr>
          <w:rFonts w:ascii="Arial" w:hAnsi="Arial" w:eastAsia="Arial" w:cs="Arial"/>
          <w:color w:val="000"/>
          <w:sz w:val="18"/>
          <w:szCs w:val="18"/>
        </w:rPr>
        <w:t xml:space="preserve">Leer hoe je open dataplatformen en dataspaces implementeert, via een open referentiearchitectuur ondersteund door minimale interoperabiliteitsmechanismen. </w:t>
      </w:r>
    </w:p>
    <w:p>
      <w:pPr>
        <w:numPr>
          <w:ilvl w:val="0"/>
          <w:numId w:val="9"/>
        </w:numPr>
      </w:pPr>
      <w:r>
        <w:rPr>
          <w:rFonts w:ascii="Arial" w:hAnsi="Arial" w:eastAsia="Arial" w:cs="Arial"/>
          <w:color w:val="000"/>
          <w:sz w:val="18"/>
          <w:szCs w:val="18"/>
        </w:rPr>
        <w:t xml:space="preserve">Ontdek de open source-tools beschikbaar via de Europese Local Digital Twin Toolbox.</w:t>
      </w:r>
    </w:p>
    <w:p>
      <w:pPr>
        <w:pStyle w:val="Heading3"/>
      </w:pPr>
      <w:r>
        <w:rPr/>
        <w:t xml:space="preserve">Versterken</w:t>
      </w:r>
    </w:p>
    <w:p>
      <w:pPr>
        <w:spacing w:line="288" w:lineRule="auto"/>
      </w:pPr>
      <w:r>
        <w:rPr>
          <w:rFonts w:ascii="Arial" w:hAnsi="Arial" w:eastAsia="Arial" w:cs="Arial"/>
          <w:color w:val="000"/>
          <w:sz w:val="18"/>
          <w:szCs w:val="18"/>
        </w:rPr>
        <w:t xml:space="preserve">In dit deel je hoe de Living-in.EU-community je kan ondersteunen bij je digitale en groene transitie via kennisdeling, toegang tot EU-bronnen en -instrumenten, en uitwisseling met collega’s binnen de EU. Je ontdekt ook financieringsmogelijkheden en hoe je die kan aanvragen en benutten.</w:t>
      </w:r>
    </w:p>
    <w:p>
      <w:pPr>
        <w:pStyle w:val="Heading4"/>
      </w:pPr>
      <w:r>
        <w:rPr/>
        <w:t xml:space="preserve">Leerdoelen</w:t>
      </w:r>
    </w:p>
    <w:p>
      <w:pPr>
        <w:numPr>
          <w:ilvl w:val="0"/>
          <w:numId w:val="10"/>
        </w:numPr>
      </w:pPr>
      <w:r>
        <w:rPr>
          <w:rFonts w:ascii="Arial" w:hAnsi="Arial" w:eastAsia="Arial" w:cs="Arial"/>
          <w:color w:val="000"/>
          <w:sz w:val="18"/>
          <w:szCs w:val="18"/>
        </w:rPr>
        <w:t xml:space="preserve">Ontdek de Living-in.EU-leergemeenschap, hoe je gebruik kan maken van de middelen die ontwikkeld zijn door en voor de community, en hoe je kan deelnemen aan de werkgroepen rond juridische, technische, monitoring- en meetaspecten, opleiding en capaciteitsopbouw, en financiering. </w:t>
      </w:r>
    </w:p>
    <w:p>
      <w:pPr>
        <w:numPr>
          <w:ilvl w:val="0"/>
          <w:numId w:val="11"/>
        </w:numPr>
      </w:pPr>
      <w:r>
        <w:rPr>
          <w:rFonts w:ascii="Arial" w:hAnsi="Arial" w:eastAsia="Arial" w:cs="Arial"/>
          <w:color w:val="000"/>
          <w:sz w:val="18"/>
          <w:szCs w:val="18"/>
        </w:rPr>
        <w:t xml:space="preserve">Ontdek financieringsmogelijkheden op EU-niveau en leer hoe je een aanvraag kan voorbereiden en indienen.</w:t>
      </w:r>
    </w:p>
    <w:p>
      <w:pPr>
        <w:pStyle w:val="Heading2"/>
      </w:pPr>
      <w:r>
        <w:rPr/>
        <w:t xml:space="preserve">Registratie </w:t>
      </w:r>
    </w:p>
    <w:p>
      <w:pPr>
        <w:spacing w:line="288" w:lineRule="auto"/>
      </w:pPr>
      <w:r>
        <w:rPr>
          <w:rFonts w:ascii="Arial" w:hAnsi="Arial" w:eastAsia="Arial" w:cs="Arial"/>
          <w:color w:val="000"/>
          <w:sz w:val="18"/>
          <w:szCs w:val="18"/>
        </w:rPr>
        <w:t xml:space="preserve">Schrijf je alvast in voor de webinar via onderstaande knop. De registratie verloopt vanuit de overzichtspagina van de webinaromgeving. Na je registratie ontvang je een automatisch bericht van Microsoft.</w:t>
      </w:r>
    </w:p>
    <w:p>
      <w:pPr>
        <w:spacing w:line="288" w:lineRule="auto"/>
      </w:pPr>
      <w:r>
        <w:rPr>
          <w:rFonts w:ascii="Arial" w:hAnsi="Arial" w:eastAsia="Arial" w:cs="Arial"/>
          <w:color w:val="000"/>
          <w:sz w:val="18"/>
          <w:szCs w:val="18"/>
        </w:rPr>
        <w:t xml:space="preserve">Voorafgaand aan de webinar ontvang je als deelnemer nog bijkomende vragen die je voor een stuk op weg helpen tijdens de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5C319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C735C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5BA31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C6302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45613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71A3A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0F01E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EB5AE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21501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1F8C1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A2046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smart-region-office" TargetMode="External"/><Relationship Id="rId8" Type="http://schemas.openxmlformats.org/officeDocument/2006/relationships/hyperlink" Target="https://living-in.eu/eu-support-services/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2026-06-06T00:24:56+02:00</dcterms:created>
  <dcterms:modified xsi:type="dcterms:W3CDTF">2026-06-06T00:24:56+02:00</dcterms:modified>
</cp:coreProperties>
</file>

<file path=docProps/custom.xml><?xml version="1.0" encoding="utf-8"?>
<Properties xmlns="http://schemas.openxmlformats.org/officeDocument/2006/custom-properties" xmlns:vt="http://schemas.openxmlformats.org/officeDocument/2006/docPropsVTypes"/>
</file>