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Apply AI Strategy - Technical Workshop on Environment and Sustainability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this online workshop to investigate potential application areas of AI for Environment &amp; Sustainability. Join the discussion!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upcoming </w:t>
      </w:r>
      <w:hyperlink r:id="rId7" w:history="1">
        <w:r>
          <w:rPr/>
          <w:t xml:space="preserve">Apply AI Strategy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the Commission is organising an online workshop to investigate potential application areas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AI for Environment &amp; Sustainability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Application providers and end-users will join DG CNECT and DG ENV representatives to discuss AI applications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identify sector-specific challenges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that might require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action from the European Commission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outcomes of the workshop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will be summarised in final sector-specific reports and will be combined with OECD or other reports to inform the state-of-play of AI adoption in the sector and serve as a basis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high-level political meetings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for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further development of the Apply AI Strategy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Apply AI Strategy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aims to accelerate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AI adoption and innovation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boost new industrial uses of AI, and improve the delivery of public services, while leveraging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European-made AI solutions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Specific Goals</w:t>
      </w:r>
    </w:p>
    <w:p>
      <w:pPr>
        <w:numPr>
          <w:ilvl w:val="0"/>
          <w:numId w:val="1"/>
        </w:numPr>
      </w:pPr>
      <w:r>
        <w:rPr/>
        <w:t xml:space="preserve">Present and identify impactful AI use-cases for the </w:t>
      </w:r>
      <w:r>
        <w:rPr>
          <w:b w:val="1"/>
          <w:bCs w:val="1"/>
        </w:rPr>
        <w:t xml:space="preserve">environment &amp; sustainability</w:t>
      </w:r>
      <w:r>
        <w:rPr/>
        <w:t xml:space="preserve"> sector</w:t>
      </w:r>
    </w:p>
    <w:p>
      <w:pPr>
        <w:numPr>
          <w:ilvl w:val="0"/>
          <w:numId w:val="1"/>
        </w:numPr>
      </w:pPr>
      <w:r>
        <w:rPr/>
        <w:t xml:space="preserve">Analyse their requirements for </w:t>
      </w:r>
      <w:r>
        <w:rPr>
          <w:b w:val="1"/>
          <w:bCs w:val="1"/>
        </w:rPr>
        <w:t xml:space="preserve">implementation and scalability</w:t>
      </w:r>
    </w:p>
    <w:p>
      <w:pPr>
        <w:numPr>
          <w:ilvl w:val="0"/>
          <w:numId w:val="1"/>
        </w:numPr>
      </w:pPr>
      <w:r>
        <w:rPr/>
        <w:t xml:space="preserve">Align AI solutions with </w:t>
      </w:r>
      <w:r>
        <w:rPr>
          <w:b w:val="1"/>
          <w:bCs w:val="1"/>
        </w:rPr>
        <w:t xml:space="preserve">EU strategic priorities</w:t>
      </w:r>
      <w:r>
        <w:rPr/>
        <w:t xml:space="preserve">  </w:t>
      </w:r>
    </w:p>
    <w:p>
      <w:pPr>
        <w:pStyle w:val="Heading3"/>
      </w:pPr>
      <w:r>
        <w:rPr/>
        <w:t xml:space="preserve">Participants will:</w:t>
      </w:r>
    </w:p>
    <w:p>
      <w:pPr>
        <w:numPr>
          <w:ilvl w:val="0"/>
          <w:numId w:val="2"/>
        </w:numPr>
      </w:pPr>
      <w:r>
        <w:rPr/>
        <w:t xml:space="preserve">Provide structured</w:t>
      </w:r>
      <w:r>
        <w:rPr>
          <w:b w:val="1"/>
          <w:bCs w:val="1"/>
        </w:rPr>
        <w:t xml:space="preserve"> feedback</w:t>
      </w:r>
      <w:r>
        <w:rPr/>
        <w:t xml:space="preserve"> on AI use-cases.</w:t>
      </w:r>
    </w:p>
    <w:p>
      <w:pPr>
        <w:numPr>
          <w:ilvl w:val="0"/>
          <w:numId w:val="2"/>
        </w:numPr>
      </w:pPr>
      <w:r>
        <w:rPr/>
        <w:t xml:space="preserve">Discuss implementation </w:t>
      </w:r>
      <w:r>
        <w:rPr>
          <w:b w:val="1"/>
          <w:bCs w:val="1"/>
        </w:rPr>
        <w:t xml:space="preserve">bottlenecks,</w:t>
      </w:r>
      <w:r>
        <w:rPr/>
        <w:t xml:space="preserve"> such as data quality, lack of infrastructure and talent gaps.</w:t>
      </w:r>
    </w:p>
    <w:p>
      <w:pPr>
        <w:numPr>
          <w:ilvl w:val="0"/>
          <w:numId w:val="2"/>
        </w:numPr>
      </w:pPr>
      <w:r>
        <w:rPr/>
        <w:t xml:space="preserve">Propose</w:t>
      </w:r>
      <w:r>
        <w:rPr>
          <w:b w:val="1"/>
          <w:bCs w:val="1"/>
        </w:rPr>
        <w:t xml:space="preserve"> solutions</w:t>
      </w:r>
    </w:p>
    <w:p>
      <w:pPr>
        <w:numPr>
          <w:ilvl w:val="0"/>
          <w:numId w:val="2"/>
        </w:numPr>
      </w:pPr>
      <w:r>
        <w:rPr/>
        <w:t xml:space="preserve">Brainstorm and prepare their </w:t>
      </w:r>
      <w:r>
        <w:rPr>
          <w:b w:val="1"/>
          <w:bCs w:val="1"/>
        </w:rPr>
        <w:t xml:space="preserve">input for </w:t>
      </w:r>
      <w:r>
        <w:rPr/>
        <w:t xml:space="preserve">the </w:t>
      </w:r>
      <w:r>
        <w:rPr>
          <w:b w:val="1"/>
          <w:bCs w:val="1"/>
        </w:rPr>
        <w:t xml:space="preserve">public consultation</w:t>
      </w:r>
      <w:r>
        <w:rPr/>
        <w:t xml:space="preserve"> on </w:t>
      </w:r>
      <w:r>
        <w:rPr>
          <w:b w:val="1"/>
          <w:bCs w:val="1"/>
        </w:rPr>
        <w:t xml:space="preserve">the AI strategy </w:t>
      </w:r>
      <w:r>
        <w:rPr/>
        <w:t xml:space="preserve">to be published on </w:t>
      </w:r>
      <w:r>
        <w:rPr>
          <w:b w:val="1"/>
          <w:bCs w:val="1"/>
        </w:rPr>
        <w:t xml:space="preserve">25 April (date subject to change)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Registration will remain open until 25 April. If you wish to express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interest in pitching or participating in the roundtable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you can do so via the registration form below by 13 April.</w:t>
      </w:r>
    </w:p>
    <w:p>
      <w:pPr>
        <w:spacing w:line="288" w:lineRule="auto"/>
      </w:pPr>
      <w:hyperlink r:id="rId8" w:history="1">
        <w:r>
          <w:rPr/>
          <w:t xml:space="preserve">Register</w:t>
        </w:r>
      </w:hyperlink>
    </w:p>
    <w:p>
      <w:pPr>
        <w:pStyle w:val="Heading3"/>
      </w:pPr>
      <w:r>
        <w:rPr/>
        <w:t xml:space="preserve">Programme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28 Apr 2025</w:t>
      </w:r>
    </w:p>
    <w:p>
      <w:pPr>
        <w:pStyle w:val="Heading4"/>
      </w:pPr>
      <w:r>
        <w:rPr/>
        <w:t xml:space="preserve">09:00 - 10:15 (CEST) Part I - Apply AI Strategy and AI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9:00-9:05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Welcome &amp; Housekeeping Rules by AI Office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9:05-9:15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 Introduction to Apply AI Strategy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09:15–09:30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Presentation from PPMI on use cases and report 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09:30–10:00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DG ENV and AIO A5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10:00–10:15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Coffee break  </w:t>
      </w:r>
    </w:p>
    <w:p>
      <w:pPr>
        <w:pStyle w:val="Heading4"/>
      </w:pPr>
      <w:r>
        <w:rPr/>
        <w:t xml:space="preserve">10:15 - 12:00 (CEST) Part II - Facilitating development and deployment of use cases within sectors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10:15-10:45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CNECT C1 DestinE, A4 and A1, present their initiatives to support AI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10:45-11:45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Fostering AI solution development and deployment for the environment – Open discussion on needs, challenges, and potential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11:45-12:00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Conclusions &amp; next steps</w:t>
      </w:r>
    </w:p>
    <w:p>
      <w:pPr>
        <w:pStyle w:val="Heading3"/>
      </w:pPr>
      <w:r>
        <w:rPr/>
        <w:t xml:space="preserve">Organisers</w:t>
      </w:r>
    </w:p>
    <w:p>
      <w:pPr/>
      <w:hyperlink r:id="rId9" w:history="1">
        <w:r>
          <w:rPr/>
          <w:t xml:space="preserve">Directorate-General for Environment</w:t>
        </w:r>
      </w:hyperlink>
    </w:p>
    <w:p>
      <w:pPr/>
      <w:r>
        <w:rPr/>
        <w:t xml:space="preserve"> | </w:t>
      </w:r>
    </w:p>
    <w:p>
      <w:pPr/>
      <w:hyperlink r:id="rId10" w:history="1">
        <w:r>
          <w:rPr/>
          <w:t xml:space="preserve">Directorate-General for Communications Networks, Content and Technology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62DB1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BC34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consultations/commission-launches-public-consultation-and-call-evidence-apply-ai-strategy" TargetMode="External"/><Relationship Id="rId8" Type="http://schemas.openxmlformats.org/officeDocument/2006/relationships/hyperlink" Target="https://ec.europa.eu/eusurvey/runner/f034709c-2193-0d99-cc9a-3f926fb7533a" TargetMode="External"/><Relationship Id="rId9" Type="http://schemas.openxmlformats.org/officeDocument/2006/relationships/hyperlink" Target="https://commission.europa.eu/about/departments-and-executive-agencies/environment_en" TargetMode="External"/><Relationship Id="rId10" Type="http://schemas.openxmlformats.org/officeDocument/2006/relationships/hyperlink" Target="https://commission.europa.eu/about/departments-and-executive-agencies/communications-networks-content-and-technology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2026-06-06T00:15:54+02:00</dcterms:created>
  <dcterms:modified xsi:type="dcterms:W3CDTF">2026-06-06T00:15:54+02:00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