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Local Digital Twin: innovazione e sviluppo delle competenze del territorio e delle comunità locali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La città è un sistema complesso, composto da un elevato numero di componenti che interagiscono all’interno dei (sotto)sistemi che la compongono. In particolare, negli ambienti attuali, caratterizzati da ambiti diversi e soggetti a crisi climatiche, ambientali, economiche e sociali, sempre più complesse e difficili da risolvere, la necessità di perseguire uno sviluppo pienamente sostenibile appare sempre più urgente. È da tali esigenze che nasce la proposta del Gemello Digitale applicato alle città e al territorio, un modello integra e innova le discipline di pianificazione urbana con i Sistemi Informativi Territoriali. Oltre agli elementi statici, il gemello digitale può essere arricchito con dati sociali ed economici. Questi possono provenire sia dalle basi di dati e dai sistemi gestionali interni del Comune, sia da tecnologie IoT che acquisiscono informazioni in tempo reale su mobilità, inquinamento atmosferico e acustico, flussi di persone, condizioni meteorologiche e altri parametri rilevanti.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Ben consapevole del fatto che la costruzione del modello digitale di una città o di un territorio richiede investimenti significativi, la Commissione Europea ha avviato una iniziativa per condividere le buone prassi sul tema e promuovere la trasformazione digitale dei territori. </w:t>
      </w:r>
      <w:hyperlink r:id="rId7" w:history="1">
        <w:r>
          <w:rPr/>
          <w:t xml:space="preserve">AnciLab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contribuisce a questa iniziativa, essendo il riferimento italiano per la </w:t>
      </w:r>
      <w:hyperlink r:id="rId8" w:history="1">
        <w:r>
          <w:rPr/>
          <w:t xml:space="preserve">Smart Communities Network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: l’alleanza di reti, sostenuta dalla Commissione Europea, il cui obiettivo principale è coinvolgere le comunità locali italiane e dell’UE per affrontare la transizione digitale e lo sviluppo dei Local Digital Twin.</w:t>
      </w:r>
    </w:p>
    <w:p>
      <w:pPr>
        <w:spacing w:line="288" w:lineRule="auto"/>
      </w:pPr>
      <w:hyperlink r:id="rId9" w:history="1">
        <w:r>
          <w:rPr/>
          <w:t xml:space="preserve">Details about this event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ancilab.it" TargetMode="External"/><Relationship Id="rId8" Type="http://schemas.openxmlformats.org/officeDocument/2006/relationships/hyperlink" Target="https://living-in.eu/eu-support-services/smart-communities-network" TargetMode="External"/><Relationship Id="rId9" Type="http://schemas.openxmlformats.org/officeDocument/2006/relationships/hyperlink" Target="https://living-in.eu/events/local-digital-twin-innovazione-e-sviluppo-delle-competenze-del-territorio-e-delle-comunit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2026-06-05T23:22:01+02:00</dcterms:created>
  <dcterms:modified xsi:type="dcterms:W3CDTF">2026-06-05T23:22:01+02:00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