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joined forces with colleagues from Brussels and Wallonia for a new edition of the 'Smart Region Partner Day'. Find all details about the event </w:t>
      </w:r>
      <w:hyperlink r:id="rId12" w:history="1">
        <w:r>
          <w:rPr/>
          <w:t xml:space="preserve">here</w:t>
        </w:r>
      </w:hyperlink>
      <w:r>
        <w:rPr>
          <w:rFonts w:ascii="Arial" w:hAnsi="Arial" w:eastAsia="Arial" w:cs="Arial"/>
          <w:color w:val="000"/>
          <w:sz w:val="18"/>
          <w:szCs w:val="18"/>
        </w:rPr>
        <w:t xml:space="preserve">, and the presentation in this page.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 Id="rId12" Type="http://schemas.openxmlformats.org/officeDocument/2006/relationships/hyperlink" Target="https://living-in.eu/events/increasing-digitalisation-awareness-and-readiness-belgian-local-and-regional-govern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2026-08-06T09:14:53+02:00</dcterms:created>
  <dcterms:modified xsi:type="dcterms:W3CDTF">2026-08-06T09:14:53+02:00</dcterms:modified>
</cp:coreProperties>
</file>

<file path=docProps/custom.xml><?xml version="1.0" encoding="utf-8"?>
<Properties xmlns="http://schemas.openxmlformats.org/officeDocument/2006/custom-properties" xmlns:vt="http://schemas.openxmlformats.org/officeDocument/2006/docPropsVTypes"/>
</file>