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Increasing Digitalisation Awareness and Readiness of Maltese Communities</w:t>
      </w:r>
    </w:p>
    <w:p>
      <w:pPr/>
    </w:p>
    <w:p>
      <w:pPr>
        <w:spacing w:line="288" w:lineRule="auto"/>
      </w:pPr>
      <w:r>
        <w:rPr>
          <w:rFonts w:ascii="Arial" w:hAnsi="Arial" w:eastAsia="Arial" w:cs="Arial"/>
          <w:color w:val="000"/>
          <w:sz w:val="18"/>
          <w:szCs w:val="18"/>
        </w:rPr>
        <w:t xml:space="preserve">As part of the Support Services for EU Smart communities, the European Commission has the goal to “Increase Digitalisation Awareness and Readiness of EU Communities”. The aim of this </w:t>
      </w:r>
      <w:hyperlink r:id="rId7" w:history="1">
        <w:r>
          <w:rPr/>
          <w:t xml:space="preserve">initiative</w:t>
        </w:r>
      </w:hyperlink>
      <w:r>
        <w:rPr>
          <w:rFonts w:ascii="Arial" w:hAnsi="Arial" w:eastAsia="Arial" w:cs="Arial"/>
          <w:color w:val="000"/>
          <w:sz w:val="18"/>
          <w:szCs w:val="18"/>
        </w:rPr>
        <w:t xml:space="preserve"> is to support EU communities at the early stages or that have not yet begun their digital transformation journey by providing resources, best practices, and training to develop digital strategies.</w:t>
      </w:r>
    </w:p>
    <w:p>
      <w:pPr>
        <w:spacing w:line="288" w:lineRule="auto"/>
      </w:pPr>
      <w:r>
        <w:rPr>
          <w:rFonts w:ascii="Arial" w:hAnsi="Arial" w:eastAsia="Arial" w:cs="Arial"/>
          <w:color w:val="000"/>
          <w:sz w:val="18"/>
          <w:szCs w:val="18"/>
        </w:rPr>
        <w:t xml:space="preserve">The </w:t>
      </w:r>
      <w:hyperlink r:id="rId8" w:history="1">
        <w:r>
          <w:rPr/>
          <w:t xml:space="preserve">Local Councils’ Association of Malta</w:t>
        </w:r>
      </w:hyperlink>
      <w:r>
        <w:rPr>
          <w:rFonts w:ascii="Arial" w:hAnsi="Arial" w:eastAsia="Arial" w:cs="Arial"/>
          <w:color w:val="000"/>
          <w:sz w:val="18"/>
          <w:szCs w:val="18"/>
        </w:rPr>
        <w:t xml:space="preserve"> is contributing to this initiative as a member of the </w:t>
      </w:r>
      <w:hyperlink r:id="rId9" w:history="1">
        <w:r>
          <w:rPr/>
          <w:t xml:space="preserve">Smart Communities Network</w:t>
        </w:r>
      </w:hyperlink>
      <w:r>
        <w:rPr>
          <w:rFonts w:ascii="Arial" w:hAnsi="Arial" w:eastAsia="Arial" w:cs="Arial"/>
          <w:color w:val="000"/>
          <w:sz w:val="18"/>
          <w:szCs w:val="18"/>
        </w:rPr>
        <w:t xml:space="preserve">: the network of networks endorsed by the European Commission, whose primary goal is to involve all EU local communities in the European green and digital transformation.</w:t>
      </w:r>
    </w:p>
    <w:p>
      <w:pPr>
        <w:spacing w:line="288" w:lineRule="auto"/>
      </w:pPr>
      <w:r>
        <w:rPr>
          <w:rFonts w:ascii="Arial" w:hAnsi="Arial" w:eastAsia="Arial" w:cs="Arial"/>
          <w:color w:val="000"/>
          <w:sz w:val="18"/>
          <w:szCs w:val="18"/>
        </w:rPr>
        <w:t xml:space="preserve">On 22 November 2024, with the support of a consortium of organisations,  </w:t>
      </w:r>
      <w:hyperlink r:id="rId8" w:history="1">
        <w:r>
          <w:rPr/>
          <w:t xml:space="preserve">Local Councils’ Association of Malta</w:t>
        </w:r>
      </w:hyperlink>
      <w:r>
        <w:rPr>
          <w:rFonts w:ascii="Arial" w:hAnsi="Arial" w:eastAsia="Arial" w:cs="Arial"/>
          <w:color w:val="000"/>
          <w:sz w:val="18"/>
          <w:szCs w:val="18"/>
        </w:rPr>
        <w:t xml:space="preserve">  held a hybrid dissemination session to engage with their cities and local communities and enhance the awareness and preparedness of Maltese communities in their digital and green transition journey.</w:t>
      </w:r>
    </w:p>
    <w:p>
      <w:pPr>
        <w:spacing w:line="288" w:lineRule="auto"/>
      </w:pPr>
      <w:r>
        <w:rPr>
          <w:rFonts w:ascii="Arial" w:hAnsi="Arial" w:eastAsia="Arial" w:cs="Arial"/>
          <w:color w:val="000"/>
          <w:sz w:val="18"/>
          <w:szCs w:val="18"/>
        </w:rPr>
        <w:t xml:space="preserve">Above you can find the presentation that was displayed during the session.</w:t>
      </w:r>
    </w:p>
    <w:p>
      <w:pPr>
        <w:spacing w:line="288" w:lineRule="auto"/>
      </w:pPr>
      <w:r>
        <w:rPr>
          <w:rFonts w:ascii="Arial" w:hAnsi="Arial" w:eastAsia="Arial" w:cs="Arial"/>
          <w:color w:val="000"/>
          <w:sz w:val="18"/>
          <w:szCs w:val="18"/>
        </w:rPr>
        <w:t xml:space="preserve">Find all the details about the event </w:t>
      </w:r>
      <w:hyperlink r:id="rId10" w:history="1">
        <w:r>
          <w:rPr/>
          <w:t xml:space="preserve">here</w:t>
        </w:r>
      </w:hyperlink>
    </w:p>
    <w:p>
      <w:pPr>
        <w:spacing w:line="288" w:lineRule="auto"/>
      </w:pPr>
      <w:r>
        <w:rPr>
          <w:rFonts w:ascii="Arial" w:hAnsi="Arial" w:eastAsia="Arial" w:cs="Arial"/>
          <w:color w:val="000"/>
          <w:sz w:val="18"/>
          <w:szCs w:val="18"/>
        </w:rPr>
        <w:t xml:space="preserve">As a follow-up to this hybrid event, </w:t>
      </w:r>
      <w:hyperlink r:id="rId10" w:history="1">
        <w:r>
          <w:rPr/>
          <w:t xml:space="preserve">online training sessions</w:t>
        </w:r>
      </w:hyperlink>
      <w:r>
        <w:rPr>
          <w:rFonts w:ascii="Arial" w:hAnsi="Arial" w:eastAsia="Arial" w:cs="Arial"/>
          <w:color w:val="000"/>
          <w:sz w:val="18"/>
          <w:szCs w:val="18"/>
        </w:rPr>
        <w:t xml:space="preserve">, which provided a practical approach to the topics covered during the event held in November (</w:t>
      </w:r>
      <w:hyperlink r:id="rId11" w:history="1">
        <w:r>
          <w:rPr/>
          <w:t xml:space="preserve">detailed programme</w:t>
        </w:r>
      </w:hyperlink>
      <w:r>
        <w:rPr>
          <w:rFonts w:ascii="Arial" w:hAnsi="Arial" w:eastAsia="Arial" w:cs="Arial"/>
          <w:color w:val="000"/>
          <w:sz w:val="18"/>
          <w:szCs w:val="18"/>
        </w:rPr>
        <w:t xml:space="preserve">), are organised:</w:t>
      </w:r>
    </w:p>
    <w:p>
      <w:pPr>
        <w:spacing w:line="288" w:lineRule="auto"/>
      </w:pPr>
      <w:hyperlink r:id="rId12" w:history="1">
        <w:r>
          <w:rPr>
            <w:b w:val="1"/>
            <w:bCs w:val="1"/>
          </w:rPr>
          <w:t xml:space="preserve">Registration</w:t>
        </w:r>
      </w:hyperlink>
    </w:p>
    <w:p>
      <w:pPr>
        <w:spacing w:line="288" w:lineRule="auto"/>
      </w:pPr>
      <w:r>
        <w:rPr>
          <w:rFonts w:ascii="Arial" w:hAnsi="Arial" w:eastAsia="Arial" w:cs="Arial"/>
          <w:color w:val="000"/>
          <w:sz w:val="18"/>
          <w:szCs w:val="18"/>
          <w:b w:val="1"/>
          <w:bCs w:val="1"/>
        </w:rPr>
        <w:t xml:space="preserve">(Find the materials below)</w:t>
      </w:r>
    </w:p>
    <w:p>
      <w:pPr>
        <w:spacing w:line="288" w:lineRule="auto"/>
      </w:pPr>
      <w:r>
        <w:rPr>
          <w:rFonts w:ascii="Arial" w:hAnsi="Arial" w:eastAsia="Arial" w:cs="Arial"/>
          <w:color w:val="000"/>
          <w:sz w:val="18"/>
          <w:szCs w:val="18"/>
          <w:b w:val="1"/>
          <w:bCs w:val="1"/>
        </w:rPr>
        <w:t xml:space="preserve">Phase 1 - PLANNING PHASE. 4 February | 10:00-11:30 CET</w:t>
      </w:r>
    </w:p>
    <w:p>
      <w:pPr>
        <w:spacing w:line="288" w:lineRule="auto"/>
      </w:pPr>
      <w:r>
        <w:rPr>
          <w:rFonts w:ascii="Arial" w:hAnsi="Arial" w:eastAsia="Arial" w:cs="Arial"/>
          <w:color w:val="000"/>
          <w:sz w:val="18"/>
          <w:szCs w:val="18"/>
          <w:b w:val="1"/>
          <w:bCs w:val="1"/>
        </w:rPr>
        <w:t xml:space="preserve">Description: </w:t>
      </w:r>
      <w:r>
        <w:rPr>
          <w:rFonts w:ascii="Arial" w:hAnsi="Arial" w:eastAsia="Arial" w:cs="Arial"/>
          <w:color w:val="000"/>
          <w:sz w:val="18"/>
          <w:szCs w:val="18"/>
        </w:rPr>
        <w:t xml:space="preserve">In this session, you will learn how to unlock the potential of digitalisation to address the EU Green Deal’s objectives, start planning your digital strategy with LORDIMAS, and develop your own digitalisation roadmap.</w:t>
      </w:r>
    </w:p>
    <w:p>
      <w:pPr>
        <w:spacing w:line="288" w:lineRule="auto"/>
      </w:pPr>
      <w:r>
        <w:rPr>
          <w:rFonts w:ascii="Arial" w:hAnsi="Arial" w:eastAsia="Arial" w:cs="Arial"/>
          <w:color w:val="000"/>
          <w:sz w:val="18"/>
          <w:szCs w:val="18"/>
          <w:b w:val="1"/>
          <w:bCs w:val="1"/>
        </w:rPr>
        <w:t xml:space="preserve">Main target audience:  </w:t>
      </w:r>
      <w:r>
        <w:rPr>
          <w:rFonts w:ascii="Arial" w:hAnsi="Arial" w:eastAsia="Arial" w:cs="Arial"/>
          <w:color w:val="000"/>
          <w:sz w:val="18"/>
          <w:szCs w:val="18"/>
        </w:rPr>
        <w:t xml:space="preserve">Urban managers and planners, Sustainability managers, Experts in Digitalisation and Smart City, Innovation managers, Data managers, ICT managers.</w:t>
      </w:r>
    </w:p>
    <w:p>
      <w:pPr>
        <w:spacing w:line="288" w:lineRule="auto"/>
      </w:pPr>
      <w:r>
        <w:rPr>
          <w:rFonts w:ascii="Arial" w:hAnsi="Arial" w:eastAsia="Arial" w:cs="Arial"/>
          <w:color w:val="000"/>
          <w:sz w:val="18"/>
          <w:szCs w:val="18"/>
          <w:b w:val="1"/>
          <w:bCs w:val="1"/>
        </w:rPr>
        <w:t xml:space="preserve">Phase 2 - PREPARATION PHASE. 11 February | 10:00-11:30 CET</w:t>
      </w:r>
    </w:p>
    <w:p>
      <w:pPr>
        <w:spacing w:line="288" w:lineRule="auto"/>
      </w:pPr>
      <w:r>
        <w:rPr>
          <w:rFonts w:ascii="Arial" w:hAnsi="Arial" w:eastAsia="Arial" w:cs="Arial"/>
          <w:color w:val="000"/>
          <w:sz w:val="18"/>
          <w:szCs w:val="18"/>
          <w:b w:val="1"/>
          <w:bCs w:val="1"/>
        </w:rPr>
        <w:t xml:space="preserve">Description: </w:t>
      </w:r>
      <w:r>
        <w:rPr>
          <w:rFonts w:ascii="Arial" w:hAnsi="Arial" w:eastAsia="Arial" w:cs="Arial"/>
          <w:color w:val="000"/>
          <w:sz w:val="18"/>
          <w:szCs w:val="18"/>
        </w:rPr>
        <w:t xml:space="preserve">In this session, you will learn about the infrastructure you need in order to implement your digitalisation roadmap and ultimately a Local Digital Platform and Local Digital Twins, with the help of available Minimum Interoperability Mechanisms, as well as open source tools available through the EU Local Digital Twins Toolbox.</w:t>
      </w:r>
    </w:p>
    <w:p>
      <w:pPr>
        <w:spacing w:line="288" w:lineRule="auto"/>
      </w:pPr>
      <w:r>
        <w:rPr>
          <w:rFonts w:ascii="Arial" w:hAnsi="Arial" w:eastAsia="Arial" w:cs="Arial"/>
          <w:color w:val="000"/>
          <w:sz w:val="18"/>
          <w:szCs w:val="18"/>
          <w:b w:val="1"/>
          <w:bCs w:val="1"/>
        </w:rPr>
        <w:t xml:space="preserve">Main target audience: </w:t>
      </w:r>
      <w:r>
        <w:rPr>
          <w:rFonts w:ascii="Arial" w:hAnsi="Arial" w:eastAsia="Arial" w:cs="Arial"/>
          <w:color w:val="000"/>
          <w:sz w:val="18"/>
          <w:szCs w:val="18"/>
        </w:rPr>
        <w:t xml:space="preserve">Urban managers and planners, Sustainability managers, Experts in Digitalisation and Smart City, Innovation managers, Data managers, ICT managers.</w:t>
      </w:r>
    </w:p>
    <w:p>
      <w:pPr>
        <w:spacing w:line="288" w:lineRule="auto"/>
      </w:pPr>
      <w:r>
        <w:rPr>
          <w:rFonts w:ascii="Arial" w:hAnsi="Arial" w:eastAsia="Arial" w:cs="Arial"/>
          <w:color w:val="000"/>
          <w:sz w:val="18"/>
          <w:szCs w:val="18"/>
          <w:b w:val="1"/>
          <w:bCs w:val="1"/>
        </w:rPr>
        <w:t xml:space="preserve">Phase 3 - EMPOWERMENT PHASE. 18 February | 10:00-11:30 CET</w:t>
      </w:r>
    </w:p>
    <w:p>
      <w:pPr>
        <w:spacing w:line="288" w:lineRule="auto"/>
      </w:pPr>
      <w:r>
        <w:rPr>
          <w:rFonts w:ascii="Arial" w:hAnsi="Arial" w:eastAsia="Arial" w:cs="Arial"/>
          <w:color w:val="000"/>
          <w:sz w:val="18"/>
          <w:szCs w:val="18"/>
          <w:b w:val="1"/>
          <w:bCs w:val="1"/>
        </w:rPr>
        <w:t xml:space="preserve">Description: </w:t>
      </w:r>
      <w:r>
        <w:rPr>
          <w:rFonts w:ascii="Arial" w:hAnsi="Arial" w:eastAsia="Arial" w:cs="Arial"/>
          <w:color w:val="000"/>
          <w:sz w:val="18"/>
          <w:szCs w:val="18"/>
        </w:rPr>
        <w:t xml:space="preserve">In this session, local and regional authorities will learn how the Living-in.EU community and network can support them in their digital and green transition through knowledge sharing, discovery of EU resources and tools, and exchange with EU peers. Moreover, learning available funding opportunities and how to apply and access them.</w:t>
      </w:r>
    </w:p>
    <w:p>
      <w:pPr>
        <w:spacing w:line="288" w:lineRule="auto"/>
      </w:pPr>
      <w:r>
        <w:rPr>
          <w:rFonts w:ascii="Arial" w:hAnsi="Arial" w:eastAsia="Arial" w:cs="Arial"/>
          <w:color w:val="000"/>
          <w:sz w:val="18"/>
          <w:szCs w:val="18"/>
          <w:b w:val="1"/>
          <w:bCs w:val="1"/>
        </w:rPr>
        <w:t xml:space="preserve">Main target audience: </w:t>
      </w:r>
      <w:r>
        <w:rPr>
          <w:rFonts w:ascii="Arial" w:hAnsi="Arial" w:eastAsia="Arial" w:cs="Arial"/>
          <w:color w:val="000"/>
          <w:sz w:val="18"/>
          <w:szCs w:val="18"/>
        </w:rPr>
        <w:t xml:space="preserve">Urban managers and planners, Sustainability managers, Digitalisation and Smart City experts, Innovation managers, Data managers, ICT managers, International Affairs Managers, Finance Managers</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support-services-eu-smart-communities" TargetMode="External"/><Relationship Id="rId8" Type="http://schemas.openxmlformats.org/officeDocument/2006/relationships/hyperlink" Target="https://www.lca.org.mt/" TargetMode="External"/><Relationship Id="rId9" Type="http://schemas.openxmlformats.org/officeDocument/2006/relationships/hyperlink" Target="https://living-in.eu/about/smart-communities-network" TargetMode="External"/><Relationship Id="rId10" Type="http://schemas.openxmlformats.org/officeDocument/2006/relationships/hyperlink" Target="https://living-in.eu/events/training-sessions-increasing-digitalisation-awareness-and-readiness-maltese-communities" TargetMode="External"/><Relationship Id="rId11" Type="http://schemas.openxmlformats.org/officeDocument/2006/relationships/hyperlink" Target="https://living-in.eu/sites/default/files/files/malta_online-training-programme_2.pdf" TargetMode="External"/><Relationship Id="rId12" Type="http://schemas.openxmlformats.org/officeDocument/2006/relationships/hyperlink" Target="https://docs.google.com/forms/d/e/1FAIpQLSenO7O6LZX-Jxp93X9wcBUZTgUzz8_hmpdLqpddT-2H87v2pQ/viewform?usp=preview"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2026-10-05T11:11:56+02:00</dcterms:created>
  <dcterms:modified xsi:type="dcterms:W3CDTF">2026-10-05T11:11:56+02:00</dcterms:modified>
</cp:coreProperties>
</file>

<file path=docProps/custom.xml><?xml version="1.0" encoding="utf-8"?>
<Properties xmlns="http://schemas.openxmlformats.org/officeDocument/2006/custom-properties" xmlns:vt="http://schemas.openxmlformats.org/officeDocument/2006/docPropsVTypes"/>
</file>