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25 mars 2025. De 16h30 à 18h00</w:t>
      </w:r>
    </w:p>
    <w:p>
      <w:pPr>
        <w:spacing w:line="288" w:lineRule="auto"/>
      </w:pPr>
      <w:r>
        <w:rPr>
          <w:rFonts w:ascii="Arial" w:hAnsi="Arial" w:eastAsia="Arial" w:cs="Arial"/>
          <w:color w:val="000"/>
          <w:sz w:val="18"/>
          <w:szCs w:val="18"/>
          <w:b w:val="1"/>
          <w:bCs w:val="1"/>
        </w:rPr>
        <w:t xml:space="preserve">Public concerné</w:t>
      </w:r>
      <w:r>
        <w:rPr>
          <w:rFonts w:ascii="Arial" w:hAnsi="Arial" w:eastAsia="Arial" w:cs="Arial"/>
          <w:color w:val="000"/>
          <w:sz w:val="18"/>
          <w:szCs w:val="18"/>
        </w:rPr>
        <w:t xml:space="preserve">. Collectivités locales.Entreprise. Partenaires</w:t>
      </w:r>
    </w:p>
    <w:p>
      <w:pPr>
        <w:spacing w:line="288" w:lineRule="auto"/>
      </w:pPr>
      <w:r>
        <w:rPr>
          <w:rFonts w:ascii="Arial" w:hAnsi="Arial" w:eastAsia="Arial" w:cs="Arial"/>
          <w:color w:val="000"/>
          <w:sz w:val="18"/>
          <w:szCs w:val="18"/>
          <w:b w:val="1"/>
          <w:bCs w:val="1"/>
        </w:rPr>
        <w:t xml:space="preserve">Format</w:t>
      </w:r>
      <w:r>
        <w:rPr>
          <w:rFonts w:ascii="Arial" w:hAnsi="Arial" w:eastAsia="Arial" w:cs="Arial"/>
          <w:color w:val="000"/>
          <w:sz w:val="18"/>
          <w:szCs w:val="18"/>
        </w:rPr>
        <w:t xml:space="preserve">. Hybride</w:t>
      </w:r>
    </w:p>
    <w:p>
      <w:pPr>
        <w:spacing w:line="288" w:lineRule="auto"/>
      </w:pPr>
      <w:r>
        <w:rPr>
          <w:rFonts w:ascii="Arial" w:hAnsi="Arial" w:eastAsia="Arial" w:cs="Arial"/>
          <w:color w:val="000"/>
          <w:sz w:val="18"/>
          <w:szCs w:val="18"/>
          <w:b w:val="1"/>
          <w:bCs w:val="1"/>
          <w:i w:val="1"/>
          <w:iCs w:val="1"/>
        </w:rPr>
        <w:t xml:space="preserve">Quel accompagnement l’Europe propose-t-elle aux territoires français pour leur transition numérique ? Comment les jumeaux numériques locaux peuvent-ils aider les collectivités à piloter leurs politiques publiques ? </w:t>
      </w:r>
    </w:p>
    <w:p>
      <w:pPr>
        <w:spacing w:line="288" w:lineRule="auto"/>
      </w:pPr>
      <w:r>
        <w:rPr>
          <w:rFonts w:ascii="Arial" w:hAnsi="Arial" w:eastAsia="Arial" w:cs="Arial"/>
          <w:color w:val="000"/>
          <w:sz w:val="18"/>
          <w:szCs w:val="18"/>
        </w:rPr>
        <w:t xml:space="preserve">La transition numérique des collectivités locales s’impose aujourd’hui pour optimiser la mise en oeuvre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et articulé entre les échelles territoriales, et la mise en place de concepts clés tel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 </w:t>
      </w:r>
    </w:p>
    <w:p>
      <w:pPr>
        <w:spacing w:line="288" w:lineRule="auto"/>
      </w:pPr>
      <w:r>
        <w:rPr>
          <w:rFonts w:ascii="Arial" w:hAnsi="Arial" w:eastAsia="Arial" w:cs="Arial"/>
          <w:color w:val="000"/>
          <w:sz w:val="18"/>
          <w:szCs w:val="18"/>
        </w:rPr>
        <w:t xml:space="preserve">Ces questions seront au coeur du 4ème volet du cycle DATA / IA qui se tiendra le 25 mars prochain au Hub des Territoires. </w:t>
      </w:r>
    </w:p>
    <w:p>
      <w:pPr>
        <w:spacing w:line="288" w:lineRule="auto"/>
      </w:pPr>
      <w:r>
        <w:rPr>
          <w:rFonts w:ascii="Arial" w:hAnsi="Arial" w:eastAsia="Arial" w:cs="Arial"/>
          <w:color w:val="000"/>
          <w:sz w:val="18"/>
          <w:szCs w:val="18"/>
        </w:rPr>
        <w:t xml:space="preserve">Co-organisé par la Commission européenne, Cap Digital et le CEREMA, l’événement mettra en lumière les outils de jumeaux numériques déployés par les collectivités, ainsi que les dispositifs européens de soutien pour accompagner la transformation numérique des territoires.</w:t>
      </w:r>
    </w:p>
    <w:p>
      <w:pPr>
        <w:spacing w:line="288" w:lineRule="auto"/>
      </w:pPr>
      <w:r>
        <w:rPr>
          <w:rFonts w:ascii="Arial" w:hAnsi="Arial" w:eastAsia="Arial" w:cs="Arial"/>
          <w:color w:val="000"/>
          <w:sz w:val="18"/>
          <w:szCs w:val="18"/>
        </w:rPr>
        <w:t xml:space="preserve">* Smart Communities Network</w:t>
      </w:r>
    </w:p>
    <w:p>
      <w:pPr>
        <w:spacing w:line="288" w:lineRule="auto"/>
      </w:pPr>
      <w:r>
        <w:rPr>
          <w:rFonts w:ascii="Arial" w:hAnsi="Arial" w:eastAsia="Arial" w:cs="Arial"/>
          <w:color w:val="000"/>
          <w:sz w:val="18"/>
          <w:szCs w:val="18"/>
        </w:rPr>
        <w:t xml:space="preserve">Le réseau de réseaux, approuvé par la Commission européenne, dont l'objectif principal est d'impliquer toutes les communautés locales de l'UE dans la transformation verte et numérique de l'Europe (</w:t>
      </w:r>
      <w:hyperlink r:id="rId7" w:history="1">
        <w:r>
          <w:rPr/>
          <w:t xml:space="preserve">lien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Living-in.EU</w:t>
      </w:r>
    </w:p>
    <w:p>
      <w:pPr>
        <w:spacing w:line="288" w:lineRule="auto"/>
      </w:pPr>
      <w:hyperlink r:id="rId8" w:history="1">
        <w:r>
          <w:rPr/>
          <w:t xml:space="preserve">Living-in.EU</w:t>
        </w:r>
      </w:hyperlink>
      <w:r>
        <w:rPr>
          <w:rFonts w:ascii="Arial" w:hAnsi="Arial" w:eastAsia="Arial" w:cs="Arial"/>
          <w:color w:val="000"/>
          <w:sz w:val="18"/>
          <w:szCs w:val="18"/>
        </w:rPr>
        <w:t xml:space="preserve"> est un réseau de gouvernements locaux et régionaux européens, qui les aide à utiliser la technologie numérique pour faire de leur ville ou de leur région un meilleur lieu de travail et de vie, Living-in.EU les accompagne dans l'élaboration de leurs stratégies de données, de plateformes numériques ou d'un jumeau numérique local. Comment? En facilitant la collaboration entre eux et en fournissant des outils prêts à l'emploi et des solutions fiables.</w:t>
      </w:r>
    </w:p>
    <w:p>
      <w:pPr>
        <w:spacing w:line="288" w:lineRule="auto"/>
      </w:pPr>
      <w:r>
        <w:rPr>
          <w:rFonts w:ascii="Arial" w:hAnsi="Arial" w:eastAsia="Arial" w:cs="Arial"/>
          <w:color w:val="000"/>
          <w:sz w:val="18"/>
          <w:szCs w:val="18"/>
        </w:rPr>
        <w:t xml:space="preserve">* Programme Europe Numérique de la Commission européenne</w:t>
      </w:r>
    </w:p>
    <w:p>
      <w:pPr>
        <w:spacing w:line="288" w:lineRule="auto"/>
      </w:pPr>
      <w:r>
        <w:rPr>
          <w:rFonts w:ascii="Arial" w:hAnsi="Arial" w:eastAsia="Arial" w:cs="Arial"/>
          <w:color w:val="000"/>
          <w:sz w:val="18"/>
          <w:szCs w:val="18"/>
        </w:rPr>
        <w:t xml:space="preserve">Dans le cadre du programme « Europe numérique », la Commission Européenne a lancé un effort de collaboration pour accélérer la transformation numérique dans les communautés de l'UE. Ces services visent à favoriser l'adoption de jumeaux numériques locaux et d'autres solutions numériques dans les zones rurales et urbaines, en veillant à ce que la technologie soit accessible à tous et conforme aux objectifs de développement durable. </w:t>
      </w:r>
    </w:p>
    <w:p>
      <w:pPr>
        <w:spacing w:line="288" w:lineRule="auto"/>
      </w:pPr>
      <w:r>
        <w:rPr>
          <w:rFonts w:ascii="Arial" w:hAnsi="Arial" w:eastAsia="Arial" w:cs="Arial"/>
          <w:color w:val="000"/>
          <w:sz w:val="18"/>
          <w:szCs w:val="18"/>
        </w:rPr>
        <w:t xml:space="preserve">Si vous avez des difficultés pour vous inscrire, n'hésitez pas à nous contacter à l'adresse suivante : </w:t>
      </w:r>
      <w:hyperlink r:id="rId9" w:history="1">
        <w:r>
          <w:rPr/>
          <w:t xml:space="preserve">hubdesterritoires@caissedesdepots.fr</w:t>
        </w:r>
      </w:hyperlink>
    </w:p>
    <w:p>
      <w:pPr>
        <w:spacing w:line="288" w:lineRule="auto"/>
      </w:pPr>
      <w:hyperlink r:id="rId10" w:history="1">
        <w:r>
          <w:rPr>
            <w:b w:val="1"/>
            <w:bCs w:val="1"/>
          </w:rPr>
          <w:t xml:space="preserve">AGENDA</w:t>
        </w:r>
      </w:hyperlink>
    </w:p>
    <w:p>
      <w:pPr>
        <w:spacing w:line="288" w:lineRule="auto"/>
      </w:pPr>
      <w:hyperlink r:id="rId11" w:history="1">
        <w:r>
          <w:rPr>
            <w:b w:val="1"/>
            <w:bCs w:val="1"/>
          </w:rPr>
          <w:t xml:space="preserve">Protection des données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about/smart-communities-network" TargetMode="External"/><Relationship Id="rId8" Type="http://schemas.openxmlformats.org/officeDocument/2006/relationships/hyperlink" Target="https://living-in.eu/" TargetMode="External"/><Relationship Id="rId9" Type="http://schemas.openxmlformats.org/officeDocument/2006/relationships/hyperlink" Target="mailto:hubdesterritoires@caissedesdepots.fr" TargetMode="External"/><Relationship Id="rId10" Type="http://schemas.openxmlformats.org/officeDocument/2006/relationships/hyperlink" Target="https://living-in.eu/sites/default/files/files/fr_agenda_ressources-et-dispositifs-europeens-dappui-a-la-transition-numerique-des-territoires.pdf" TargetMode="External"/><Relationship Id="rId11" Type="http://schemas.openxmlformats.org/officeDocument/2006/relationships/hyperlink" Target="https://living-in.eu/sites/default/files/files/privacy-statement_2503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2026-10-05T12:17:33+02:00</dcterms:created>
  <dcterms:modified xsi:type="dcterms:W3CDTF">2026-10-05T12:17:33+02:00</dcterms:modified>
</cp:coreProperties>
</file>

<file path=docProps/custom.xml><?xml version="1.0" encoding="utf-8"?>
<Properties xmlns="http://schemas.openxmlformats.org/officeDocument/2006/custom-properties" xmlns:vt="http://schemas.openxmlformats.org/officeDocument/2006/docPropsVTypes"/>
</file>