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Approach and Citizen Engagement</w:t>
      </w:r>
    </w:p>
    <w:p>
      <w:pPr/>
    </w:p>
    <w:p>
      <w:pPr>
        <w:spacing w:line="288" w:lineRule="auto"/>
      </w:pPr>
      <w:r>
        <w:rPr>
          <w:rFonts w:ascii="Arial" w:hAnsi="Arial" w:eastAsia="Arial" w:cs="Arial"/>
          <w:color w:val="000"/>
          <w:sz w:val="18"/>
          <w:szCs w:val="18"/>
        </w:rPr>
        <w:t xml:space="preserve">The Living Lab methodology is a well-known approach for achieving open innovation. There are many aspects to consider when setting up a Living Lab or applying this approach to your specific context. To use this guide, you must not necessarily have or aim to establish a formal Living Lab. Instead, we share key insights into the approach and tips on how to foster citizen engagement throughout your citizen-focused project.</w:t>
      </w:r>
    </w:p>
    <w:p>
      <w:pPr>
        <w:spacing w:line="288" w:lineRule="auto"/>
      </w:pPr>
      <w:r>
        <w:rPr>
          <w:rFonts w:ascii="Arial" w:hAnsi="Arial" w:eastAsia="Arial" w:cs="Arial"/>
          <w:color w:val="000"/>
          <w:sz w:val="18"/>
          <w:szCs w:val="18"/>
        </w:rPr>
        <w:t xml:space="preserve">The tips in this guide come from experts with hands-on experience in applying the Living Lab approach in their own communities. While this guide focuses on urban living labs operating in cities and addressing digital solutions, the methodology can be adapted to other contexts, such as rural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2026-10-05T11:10:09+02:00</dcterms:created>
  <dcterms:modified xsi:type="dcterms:W3CDTF">2026-10-05T11:10:09+02:00</dcterms:modified>
</cp:coreProperties>
</file>

<file path=docProps/custom.xml><?xml version="1.0" encoding="utf-8"?>
<Properties xmlns="http://schemas.openxmlformats.org/officeDocument/2006/custom-properties" xmlns:vt="http://schemas.openxmlformats.org/officeDocument/2006/docPropsVTypes"/>
</file>