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Knowledge Exchange on Open Data Value Creation</w:t>
      </w:r>
    </w:p>
    <w:p>
      <w:pPr/>
    </w:p>
    <w:p>
      <w:pPr>
        <w:spacing w:line="288" w:lineRule="auto"/>
      </w:pPr>
      <w:r>
        <w:rPr>
          <w:rFonts w:ascii="Arial" w:hAnsi="Arial" w:eastAsia="Arial" w:cs="Arial"/>
          <w:color w:val="000"/>
          <w:sz w:val="18"/>
          <w:szCs w:val="18"/>
        </w:rPr>
        <w:t xml:space="preserve">The sharing and use of open data have become integral to a city’s data strategy over the past decade. Driven initially by regulatory compliance to open up certain data sets, cities are increasingly operating open data platforms where they are curating and making a growing number of data sets available related to their municipalities. Data may come from internal data sources and public sector partners such as local transportation service providers, emergency services and law enforcement.</w:t>
      </w:r>
    </w:p>
    <w:p>
      <w:pPr>
        <w:spacing w:line="288" w:lineRule="auto"/>
      </w:pPr>
      <w:r>
        <w:rPr>
          <w:rFonts w:ascii="Arial" w:hAnsi="Arial" w:eastAsia="Arial" w:cs="Arial"/>
          <w:color w:val="000"/>
          <w:sz w:val="18"/>
          <w:szCs w:val="18"/>
        </w:rPr>
        <w:t xml:space="preserve">While the availability of open data generally increases, the same cannot be said for its utility. Some data sets are more often used or valuable than others. This can be due to different reasons, such as the level of interest of internal and external stakeholders in particular data or the value potential of such data to contribute to novel insights or services in response to market needs. It can also be down to data quality and how regularly up-to-date data is made available. Publishing data on its own is often not sufficient but requires a city to employ suitable engagement strategies to promote the use of such data.</w:t>
      </w:r>
    </w:p>
    <w:p>
      <w:pPr>
        <w:spacing w:line="288" w:lineRule="auto"/>
      </w:pPr>
      <w:r>
        <w:rPr>
          <w:rFonts w:ascii="Arial" w:hAnsi="Arial" w:eastAsia="Arial" w:cs="Arial"/>
          <w:color w:val="000"/>
          <w:sz w:val="18"/>
          <w:szCs w:val="18"/>
        </w:rPr>
        <w:t xml:space="preserve">This session will look at practical examples from three cities in our OASC network –  namely Aarhus (Denmark), Ghent (Belgium) and Södertälje (Sweden) – which have significant experiences creating a thriving open data ecosystem. The cities will discuss case studies and strategies for successfully leveraging data to create value for their communities. Questions to be explored include the following: </w:t>
      </w:r>
    </w:p>
    <w:p>
      <w:pPr>
        <w:numPr>
          <w:ilvl w:val="0"/>
          <w:numId w:val="1"/>
        </w:numPr>
      </w:pPr>
      <w:r>
        <w:rPr/>
        <w:t xml:space="preserve">What are the vital data sets/sources and high-value applications?</w:t>
      </w:r>
    </w:p>
    <w:p>
      <w:pPr>
        <w:numPr>
          <w:ilvl w:val="0"/>
          <w:numId w:val="1"/>
        </w:numPr>
      </w:pPr>
      <w:r>
        <w:rPr/>
        <w:t xml:space="preserve">Which ones are likely replicable across cities elsewhere or relatively unique to a city/region?</w:t>
      </w:r>
    </w:p>
    <w:p>
      <w:pPr>
        <w:numPr>
          <w:ilvl w:val="0"/>
          <w:numId w:val="1"/>
        </w:numPr>
      </w:pPr>
      <w:r>
        <w:rPr/>
        <w:t xml:space="preserve">What are lessons learnt about how to engage an ecosystem of third parties to create value or encourage third parties to contribute data to benefit the city?</w:t>
      </w:r>
    </w:p>
    <w:p>
      <w:pPr>
        <w:numPr>
          <w:ilvl w:val="0"/>
          <w:numId w:val="1"/>
        </w:numPr>
      </w:pPr>
      <w:r>
        <w:rPr/>
        <w:t xml:space="preserve">What are the failures and pitfalls when working with open data? What looked to be a good idea but turned out to be a bad one, and why or what to avoid doing when working with open data use cases?</w:t>
      </w:r>
    </w:p>
    <w:p>
      <w:pPr>
        <w:numPr>
          <w:ilvl w:val="0"/>
          <w:numId w:val="1"/>
        </w:numPr>
      </w:pPr>
      <w:r>
        <w:rPr/>
        <w:t xml:space="preserve">Beyond open data- use cases where shared data is more appropriate to create value than just open data</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detailed agenda</w:t>
      </w:r>
      <w:r>
        <w:rPr>
          <w:rFonts w:ascii="Arial" w:hAnsi="Arial" w:eastAsia="Arial" w:cs="Arial"/>
          <w:color w:val="000"/>
          <w:sz w:val="18"/>
          <w:szCs w:val="18"/>
        </w:rPr>
        <w:t xml:space="preserve"> for the session is presented below.</w:t>
      </w:r>
    </w:p>
    <w:p>
      <w:pPr>
        <w:numPr>
          <w:ilvl w:val="0"/>
          <w:numId w:val="2"/>
        </w:numPr>
      </w:pPr>
      <w:r>
        <w:rPr/>
        <w:t xml:space="preserve">“Welcome, and introductions to the topic and panel speakers”, Alex Gluhak, OASC – 10mins</w:t>
      </w:r>
    </w:p>
    <w:p>
      <w:pPr>
        <w:numPr>
          <w:ilvl w:val="0"/>
          <w:numId w:val="2"/>
        </w:numPr>
      </w:pPr>
      <w:r>
        <w:rPr/>
        <w:t xml:space="preserve">Digital Twin Case studies – 1 hr</w:t>
      </w:r>
      <w:br/>
      <w:r>
        <w:rPr/>
        <w:t xml:space="preserve">	– Case Study 1 – Bo Fristed, City of Aarhus – 15 mins</w:t>
      </w:r>
      <w:br/>
      <w:r>
        <w:rPr/>
        <w:t xml:space="preserve">	– Case Study 2 – Andreas Sundberg, City of Södertälje – 15 mins</w:t>
      </w:r>
      <w:br/>
      <w:r>
        <w:rPr/>
        <w:t xml:space="preserve">	– Case Study 3 – Thimo Thoeye, City of Ghent– 15 mins</w:t>
      </w:r>
    </w:p>
    <w:p>
      <w:pPr>
        <w:numPr>
          <w:ilvl w:val="0"/>
          <w:numId w:val="2"/>
        </w:numPr>
      </w:pPr>
      <w:r>
        <w:rPr/>
        <w:t xml:space="preserve">Round table discussion, moderated by Alex Gluhak, OASC (30 mins)</w:t>
      </w:r>
    </w:p>
    <w:p>
      <w:pPr>
        <w:numPr>
          <w:ilvl w:val="0"/>
          <w:numId w:val="2"/>
        </w:numPr>
      </w:pPr>
      <w:r>
        <w:rPr/>
        <w:t xml:space="preserve">Wrap-up (5 mins)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8DAC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7962A1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2026-06-06T04:49:54+02:00</dcterms:created>
  <dcterms:modified xsi:type="dcterms:W3CDTF">2026-06-06T04:49:54+02:00</dcterms:modified>
</cp:coreProperties>
</file>

<file path=docProps/custom.xml><?xml version="1.0" encoding="utf-8"?>
<Properties xmlns="http://schemas.openxmlformats.org/officeDocument/2006/custom-properties" xmlns:vt="http://schemas.openxmlformats.org/officeDocument/2006/docPropsVTypes"/>
</file>