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essential – how to set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The Living Lab essentials – how to set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22 June 2023 10:00 – 11:30 CEST</w:t>
      </w:r>
      <w:r>
        <w:rPr>
          <w:rFonts w:ascii="Arial" w:hAnsi="Arial" w:eastAsia="Arial" w:cs="Arial"/>
          <w:color w:val="000"/>
          <w:sz w:val="18"/>
          <w:szCs w:val="18"/>
        </w:rPr>
        <w:t xml:space="preserve">. This first webinar covered all the basic aspects of Living Labs, taking into consideration all land use types and Mission Specific objectives. In particular, speakers explained in detail how to set up a Living Lab, their criteria and essential characteristics as well as how to implement efficient and effective stakeholders’ engagement methodologies and multi-stakeholder partnerships.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2026-08-06T10:09:39+02:00</dcterms:created>
  <dcterms:modified xsi:type="dcterms:W3CDTF">2026-08-06T10:09:39+02:00</dcterms:modified>
</cp:coreProperties>
</file>

<file path=docProps/custom.xml><?xml version="1.0" encoding="utf-8"?>
<Properties xmlns="http://schemas.openxmlformats.org/officeDocument/2006/custom-properties" xmlns:vt="http://schemas.openxmlformats.org/officeDocument/2006/docPropsVTypes"/>
</file>