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Common Grounds for Smart &amp; Sustainable Cities' Data Spaces</w:t>
      </w:r>
    </w:p>
    <w:p>
      <w:pPr/>
    </w:p>
    <w:p>
      <w:pPr>
        <w:spacing w:line="288" w:lineRule="auto"/>
      </w:pPr>
      <w:r>
        <w:rPr>
          <w:rFonts w:ascii="Arial" w:hAnsi="Arial" w:eastAsia="Arial" w:cs="Arial"/>
          <w:color w:val="000"/>
          <w:sz w:val="18"/>
          <w:szCs w:val="18"/>
        </w:rPr>
        <w:t xml:space="preserve">Since September 2022, European data spaces initiatives have been collaboratively defining the technical building blocks for data spaces across various domains. In partnership with the Data Spaces Support Centre (DSSC), this collaborative effort, has successfully identified and integrated common grounds for technical standards and software implementations presented during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2026-06-06T00:16:32+02:00</dcterms:created>
  <dcterms:modified xsi:type="dcterms:W3CDTF">2026-06-06T00:16:32+02:00</dcterms:modified>
</cp:coreProperties>
</file>

<file path=docProps/custom.xml><?xml version="1.0" encoding="utf-8"?>
<Properties xmlns="http://schemas.openxmlformats.org/officeDocument/2006/custom-properties" xmlns:vt="http://schemas.openxmlformats.org/officeDocument/2006/docPropsVTypes"/>
</file>