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2)</w:t>
      </w:r>
    </w:p>
    <w:p>
      <w:pPr/>
    </w:p>
    <w:p>
      <w:pPr>
        <w:spacing w:line="288" w:lineRule="auto"/>
      </w:pPr>
      <w:r>
        <w:rPr>
          <w:rFonts w:ascii="Arial" w:hAnsi="Arial" w:eastAsia="Arial" w:cs="Arial"/>
          <w:color w:val="000"/>
          <w:sz w:val="18"/>
          <w:szCs w:val="18"/>
        </w:rPr>
        <w:t xml:space="preserve">The data.europa.eu (formerly European Data Portal) team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2 of 3 of the webinar. In this section, we deep dive into insights on how rural open data is used in practice to overcome the open data rural gap. In addition, there is a discussion on how COVID-19 has impacted agricultural open data and that if more open data from rural areas could have helped in mitigating the spread of the pandemic in Europe. Moreover, insights will be shared on how open government data from rural areas can help to shape communities and be used to benchmark development in different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2026-06-06T01:09:36+02:00</dcterms:created>
  <dcterms:modified xsi:type="dcterms:W3CDTF">2026-06-06T01:09:36+02:00</dcterms:modified>
</cp:coreProperties>
</file>

<file path=docProps/custom.xml><?xml version="1.0" encoding="utf-8"?>
<Properties xmlns="http://schemas.openxmlformats.org/officeDocument/2006/custom-properties" xmlns:vt="http://schemas.openxmlformats.org/officeDocument/2006/docPropsVTypes"/>
</file>