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2)</w:t>
      </w:r>
    </w:p>
    <w:p>
      <w:pPr/>
    </w:p>
    <w:p>
      <w:pPr>
        <w:spacing w:line="288" w:lineRule="auto"/>
      </w:pPr>
      <w:r>
        <w:rPr>
          <w:rFonts w:ascii="Arial" w:hAnsi="Arial" w:eastAsia="Arial" w:cs="Arial"/>
          <w:color w:val="000"/>
          <w:sz w:val="18"/>
          <w:szCs w:val="18"/>
        </w:rPr>
        <w:t xml:space="preserve">The data.europa.eu (formerly European Data Portal) team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2 of 3 of the webinar. In this section, we deep dive into insights on how rural open data is used in practice to overcome the open data rural gap. In addition, there is a discussion on how COVID-19 has impacted agricultural open data and that if more open data from rural areas could have helped in mitigating the spread of the pandemic in Europe. Moreover, insights will be shared on how open government data from rural areas can help to shape communities and be used to benchmark development in different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2026-10-05T12:14:26+02:00</dcterms:created>
  <dcterms:modified xsi:type="dcterms:W3CDTF">2026-10-05T12:14:26+02:00</dcterms:modified>
</cp:coreProperties>
</file>

<file path=docProps/custom.xml><?xml version="1.0" encoding="utf-8"?>
<Properties xmlns="http://schemas.openxmlformats.org/officeDocument/2006/custom-properties" xmlns:vt="http://schemas.openxmlformats.org/officeDocument/2006/docPropsVTypes"/>
</file>