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for cities and communities</w:t>
      </w:r>
    </w:p>
    <w:p>
      <w:pPr/>
    </w:p>
    <w:p>
      <w:pPr>
        <w:spacing w:line="288" w:lineRule="auto"/>
      </w:pPr>
      <w:r>
        <w:rPr>
          <w:rFonts w:ascii="Arial" w:hAnsi="Arial" w:eastAsia="Arial" w:cs="Arial"/>
          <w:color w:val="000"/>
          <w:sz w:val="18"/>
          <w:szCs w:val="18"/>
        </w:rPr>
        <w:t xml:space="preserve">Take this free course and get an introduction to what open data means for local authorities. Our experts will share with you the basic principles to get open data for cities right.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2026-06-06T01:07:55+02:00</dcterms:created>
  <dcterms:modified xsi:type="dcterms:W3CDTF">2026-06-06T01:07:55+02:00</dcterms:modified>
</cp:coreProperties>
</file>

<file path=docProps/custom.xml><?xml version="1.0" encoding="utf-8"?>
<Properties xmlns="http://schemas.openxmlformats.org/officeDocument/2006/custom-properties" xmlns:vt="http://schemas.openxmlformats.org/officeDocument/2006/docPropsVTypes"/>
</file>