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for cities and communities</w:t>
      </w:r>
    </w:p>
    <w:p>
      <w:pPr/>
    </w:p>
    <w:p>
      <w:pPr>
        <w:spacing w:line="288" w:lineRule="auto"/>
      </w:pPr>
      <w:r>
        <w:rPr>
          <w:rFonts w:ascii="Arial" w:hAnsi="Arial" w:eastAsia="Arial" w:cs="Arial"/>
          <w:color w:val="000"/>
          <w:sz w:val="18"/>
          <w:szCs w:val="18"/>
        </w:rPr>
        <w:t xml:space="preserve">Take this free course and get an introduction to what open data means for local authorities. Our experts will share with you the basic principles to get open data for cities right.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2026-10-05T12:14:09+02:00</dcterms:created>
  <dcterms:modified xsi:type="dcterms:W3CDTF">2026-10-05T12:14:09+02:00</dcterms:modified>
</cp:coreProperties>
</file>

<file path=docProps/custom.xml><?xml version="1.0" encoding="utf-8"?>
<Properties xmlns="http://schemas.openxmlformats.org/officeDocument/2006/custom-properties" xmlns:vt="http://schemas.openxmlformats.org/officeDocument/2006/docPropsVTypes"/>
</file>