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Honest visuals: ethics in data visualisation</w:t>
      </w:r>
    </w:p>
    <w:p>
      <w:pPr/>
    </w:p>
    <w:p>
      <w:pPr>
        <w:spacing w:line="288" w:lineRule="auto"/>
      </w:pPr>
      <w:r>
        <w:rPr>
          <w:rFonts w:ascii="Arial" w:hAnsi="Arial" w:eastAsia="Arial" w:cs="Arial"/>
          <w:color w:val="000"/>
          <w:sz w:val="18"/>
          <w:szCs w:val="18"/>
        </w:rPr>
        <w:t xml:space="preserve">Data visualisation is as susceptible to misinterpretation and manipulation as any other communication method. This talk will focus on how to spot misleading visuals, prevent biases when selecting the context and visualisation, and ensure data and visual literacy to prevent misinformation. Xaquín will also highlight good practices in visualisation and present some real recent examples of COVID-19 visuals in the media.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2026-10-05T11:10:39+02:00</dcterms:created>
  <dcterms:modified xsi:type="dcterms:W3CDTF">2026-10-05T11:10:39+02:00</dcterms:modified>
</cp:coreProperties>
</file>

<file path=docProps/custom.xml><?xml version="1.0" encoding="utf-8"?>
<Properties xmlns="http://schemas.openxmlformats.org/officeDocument/2006/custom-properties" xmlns:vt="http://schemas.openxmlformats.org/officeDocument/2006/docPropsVTypes"/>
</file>