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Handbook for policy makers (digital innovation in governance and public services)</w:t>
      </w:r>
    </w:p>
    <w:p>
      <w:pPr/>
    </w:p>
    <w:p>
      <w:pPr>
        <w:spacing w:line="288" w:lineRule="auto"/>
      </w:pPr>
      <w:r>
        <w:rPr>
          <w:rFonts w:ascii="Arial" w:hAnsi="Arial" w:eastAsia="Arial" w:cs="Arial"/>
          <w:color w:val="000"/>
          <w:sz w:val="18"/>
          <w:szCs w:val="18"/>
        </w:rPr>
        <w:t xml:space="preserve">This </w:t>
      </w:r>
      <w:hyperlink r:id="rId7" w:history="1">
        <w:r>
          <w:rPr/>
          <w:t xml:space="preserve">research project</w:t>
        </w:r>
      </w:hyperlink>
      <w:r>
        <w:rPr>
          <w:rFonts w:ascii="Arial" w:hAnsi="Arial" w:eastAsia="Arial" w:cs="Arial"/>
          <w:color w:val="000"/>
          <w:sz w:val="18"/>
          <w:szCs w:val="18"/>
        </w:rPr>
        <w:t xml:space="preserve"> sets out to analyse the transformation of the public sector and its service provision through digital innovation by taking into consideration the diversity of the European territory in terms of socio-economic, cultural and environmental endowments in different cities.</w:t>
      </w:r>
    </w:p>
    <w:p>
      <w:pPr>
        <w:spacing w:line="288" w:lineRule="auto"/>
      </w:pPr>
      <w:r>
        <w:rPr>
          <w:rFonts w:ascii="Arial" w:hAnsi="Arial" w:eastAsia="Arial" w:cs="Arial"/>
          <w:color w:val="000"/>
          <w:sz w:val="18"/>
          <w:szCs w:val="18"/>
        </w:rPr>
        <w:t xml:space="preserve">The research shall provide evidence, recommendations on how processes related to the harnessing of digital innovation in the transformation of governance and public service provision in cities across Europe to generate public value, increase openness, citizen participation and common ownership as well as bring the economic and social benefits of this transformation to all local communities. The main focus here should lie on the changing nature of government structure and processes, ways of working, the role of data, standards and platforms, multilevel governance and networking in scaling up digital innovation and delivering a holistic digital public sector.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2026-10-05T09:12:49+02:00</dcterms:created>
  <dcterms:modified xsi:type="dcterms:W3CDTF">2026-10-05T09:12:49+02:00</dcterms:modified>
</cp:coreProperties>
</file>

<file path=docProps/custom.xml><?xml version="1.0" encoding="utf-8"?>
<Properties xmlns="http://schemas.openxmlformats.org/officeDocument/2006/custom-properties" xmlns:vt="http://schemas.openxmlformats.org/officeDocument/2006/docPropsVTypes"/>
</file>