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r>
        <w:rPr>
          <w:rFonts w:ascii="Arial" w:hAnsi="Arial" w:eastAsia="Arial" w:cs="Arial"/>
          <w:color w:val="000"/>
          <w:sz w:val="18"/>
          <w:szCs w:val="18"/>
        </w:rPr>
        <w:t xml:space="preserve">DT4REGIONs and Living-in.eu initiatives under the lead of ENoLL within WP4, with the support of the Computer Vision Center, have organized the Webinar on Data Spaces for Digital Transition “Data Spaces for Digital Transition: Enabling data creation, access and valorisation for EU Regions”. With the aim to explore the integration of AI into Digital &amp; Data Spaces for European cities and regions. The basics of Digital &amp; Data Spaces technologies, clear directions for the integration of AI into the Digital &amp; Data Spaces, and fully-curated examples already working in the European context, were introduced. An extensive bibliographic material and a repository the case-studies supported the 2-hour session. This became the entry point for the contribution of the Mutual Learning Communities from the European community on Digital &amp; Data Spaces and AI.</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2026-06-06T01:18:27+02:00</dcterms:created>
  <dcterms:modified xsi:type="dcterms:W3CDTF">2026-06-06T01:18:27+02:00</dcterms:modified>
</cp:coreProperties>
</file>

<file path=docProps/custom.xml><?xml version="1.0" encoding="utf-8"?>
<Properties xmlns="http://schemas.openxmlformats.org/officeDocument/2006/custom-properties" xmlns:vt="http://schemas.openxmlformats.org/officeDocument/2006/docPropsVTypes"/>
</file>