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0.5</w:t>
      </w:r>
    </w:p>
    <w:p>
      <w:pPr/>
    </w:p>
    <w:p>
      <w:pPr>
        <w:spacing w:line="288" w:lineRule="auto"/>
      </w:pPr>
      <w:r>
        <w:rPr>
          <w:rFonts w:ascii="Arial" w:hAnsi="Arial" w:eastAsia="Arial" w:cs="Arial"/>
          <w:color w:val="000"/>
          <w:sz w:val="18"/>
          <w:szCs w:val="18"/>
        </w:rPr>
        <w:t xml:space="preserve">The Blueprint is a consistent and comprehensive set of guidelines to support the development cycle of data spaces. In the blueprint, you can find the conceptual model of data space, data space building blocks, and the recommended selection of standards, specifications and reference implementations identified in the data spaces standards and technologies landscape.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2026-10-05T11:09:44+02:00</dcterms:created>
  <dcterms:modified xsi:type="dcterms:W3CDTF">2026-10-05T11:09:44+02:00</dcterms:modified>
</cp:coreProperties>
</file>

<file path=docProps/custom.xml><?xml version="1.0" encoding="utf-8"?>
<Properties xmlns="http://schemas.openxmlformats.org/officeDocument/2006/custom-properties" xmlns:vt="http://schemas.openxmlformats.org/officeDocument/2006/docPropsVTypes"/>
</file>